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E7" w:rsidRPr="004121E7" w:rsidRDefault="004121E7" w:rsidP="004121E7">
      <w:pPr>
        <w:jc w:val="both"/>
        <w:rPr>
          <w:rFonts w:ascii="Times New Roman" w:hAnsi="Times New Roman" w:cs="Times New Roman"/>
          <w:b/>
          <w:sz w:val="24"/>
          <w:szCs w:val="24"/>
        </w:rPr>
      </w:pPr>
      <w:bookmarkStart w:id="0" w:name="_GoBack"/>
      <w:bookmarkEnd w:id="0"/>
      <w:r w:rsidRPr="004121E7">
        <w:rPr>
          <w:rFonts w:ascii="Times New Roman" w:hAnsi="Times New Roman" w:cs="Times New Roman"/>
          <w:b/>
          <w:sz w:val="24"/>
          <w:szCs w:val="24"/>
        </w:rPr>
        <w:t>TEISINIŲ DOKUMENTŲ, SUSIJUSIŲ SU I-OSIOS ALTERNATYVOS ĮGYVENDINIMU, ANALIZĖ</w:t>
      </w:r>
    </w:p>
    <w:p w:rsidR="004121E7" w:rsidRPr="004121E7" w:rsidRDefault="004121E7" w:rsidP="004121E7">
      <w:pPr>
        <w:jc w:val="both"/>
        <w:rPr>
          <w:rFonts w:ascii="Times New Roman" w:hAnsi="Times New Roman" w:cs="Times New Roman"/>
          <w:sz w:val="24"/>
          <w:szCs w:val="24"/>
        </w:rPr>
      </w:pP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 xml:space="preserve">Analizuojant alternatyvos įgyvendinimui svarbius teisinius dokumentus nustatyta, jog </w:t>
      </w:r>
      <w:r w:rsidRPr="004121E7">
        <w:rPr>
          <w:rFonts w:ascii="Times New Roman" w:hAnsi="Times New Roman" w:cs="Times New Roman"/>
          <w:b/>
          <w:sz w:val="24"/>
          <w:szCs w:val="24"/>
        </w:rPr>
        <w:t>ugdymo organizavimo moduliais</w:t>
      </w:r>
      <w:r w:rsidRPr="004121E7">
        <w:rPr>
          <w:rFonts w:ascii="Times New Roman" w:hAnsi="Times New Roman" w:cs="Times New Roman"/>
          <w:sz w:val="24"/>
          <w:szCs w:val="24"/>
        </w:rPr>
        <w:t xml:space="preserve"> pagrindinės teisinės prielaidos ir siekiai apibrėžti šiuose pagrindiniuose dokumentuose:</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1. Lietuvos Respublikos švietimo įstatyme (</w:t>
      </w:r>
      <w:proofErr w:type="spellStart"/>
      <w:r w:rsidRPr="004121E7">
        <w:rPr>
          <w:rFonts w:ascii="Times New Roman" w:hAnsi="Times New Roman" w:cs="Times New Roman"/>
          <w:sz w:val="24"/>
          <w:szCs w:val="24"/>
        </w:rPr>
        <w:t>Žin</w:t>
      </w:r>
      <w:proofErr w:type="spellEnd"/>
      <w:r w:rsidRPr="004121E7">
        <w:rPr>
          <w:rFonts w:ascii="Times New Roman" w:hAnsi="Times New Roman" w:cs="Times New Roman"/>
          <w:sz w:val="24"/>
          <w:szCs w:val="24"/>
        </w:rPr>
        <w:t>., 1991, Nr. 23-593; 2011, Nr.</w:t>
      </w:r>
      <w:proofErr w:type="gramStart"/>
      <w:r w:rsidRPr="004121E7">
        <w:rPr>
          <w:rFonts w:ascii="Times New Roman" w:hAnsi="Times New Roman" w:cs="Times New Roman"/>
          <w:sz w:val="24"/>
          <w:szCs w:val="24"/>
        </w:rPr>
        <w:t xml:space="preserve">  </w:t>
      </w:r>
      <w:proofErr w:type="gramEnd"/>
      <w:r w:rsidRPr="004121E7">
        <w:rPr>
          <w:rFonts w:ascii="Times New Roman" w:hAnsi="Times New Roman" w:cs="Times New Roman"/>
          <w:sz w:val="24"/>
          <w:szCs w:val="24"/>
        </w:rPr>
        <w:t>38-1804);</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2. Pradinio ir pagrindinio ugdymo bendrosiose programose (</w:t>
      </w:r>
      <w:proofErr w:type="spellStart"/>
      <w:r w:rsidRPr="004121E7">
        <w:rPr>
          <w:rFonts w:ascii="Times New Roman" w:hAnsi="Times New Roman" w:cs="Times New Roman"/>
          <w:sz w:val="24"/>
          <w:szCs w:val="24"/>
        </w:rPr>
        <w:t>Žin</w:t>
      </w:r>
      <w:proofErr w:type="spellEnd"/>
      <w:r w:rsidRPr="004121E7">
        <w:rPr>
          <w:rFonts w:ascii="Times New Roman" w:hAnsi="Times New Roman" w:cs="Times New Roman"/>
          <w:sz w:val="24"/>
          <w:szCs w:val="24"/>
        </w:rPr>
        <w:t>., 2008, Nr. 99-3848);</w:t>
      </w:r>
    </w:p>
    <w:p w:rsidR="004121E7" w:rsidRPr="004121E7" w:rsidRDefault="004121E7" w:rsidP="004121E7">
      <w:pPr>
        <w:jc w:val="both"/>
        <w:rPr>
          <w:rFonts w:ascii="Times New Roman" w:hAnsi="Times New Roman" w:cs="Times New Roman"/>
          <w:bCs/>
          <w:sz w:val="24"/>
          <w:szCs w:val="24"/>
        </w:rPr>
      </w:pPr>
      <w:r w:rsidRPr="004121E7">
        <w:rPr>
          <w:rFonts w:ascii="Times New Roman" w:hAnsi="Times New Roman" w:cs="Times New Roman"/>
          <w:sz w:val="24"/>
          <w:szCs w:val="24"/>
        </w:rPr>
        <w:t>3. 2013-2014 ir 2014-2015 mokslo metų pagrindinio ir vidurinio ugdymo programų bendruosiuose planuose (</w:t>
      </w:r>
      <w:proofErr w:type="spellStart"/>
      <w:r w:rsidRPr="004121E7">
        <w:rPr>
          <w:rFonts w:ascii="Times New Roman" w:hAnsi="Times New Roman" w:cs="Times New Roman"/>
          <w:sz w:val="24"/>
          <w:szCs w:val="24"/>
        </w:rPr>
        <w:t>Žin</w:t>
      </w:r>
      <w:proofErr w:type="spellEnd"/>
      <w:r w:rsidRPr="004121E7">
        <w:rPr>
          <w:rFonts w:ascii="Times New Roman" w:hAnsi="Times New Roman" w:cs="Times New Roman"/>
          <w:sz w:val="24"/>
          <w:szCs w:val="24"/>
        </w:rPr>
        <w:t>., 2013, Nr.</w:t>
      </w:r>
      <w:r w:rsidRPr="004121E7">
        <w:rPr>
          <w:rFonts w:ascii="Times New Roman" w:hAnsi="Times New Roman" w:cs="Times New Roman"/>
          <w:bCs/>
          <w:sz w:val="24"/>
          <w:szCs w:val="24"/>
        </w:rPr>
        <w:t xml:space="preserve"> 58-2934);</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4. Mokymosi pagal formaliojo švietimo programas (išskyrus aukštojo mokslo studijų programas) formų ir mokymo organizavimo tvarkos apraše (</w:t>
      </w:r>
      <w:proofErr w:type="spellStart"/>
      <w:r w:rsidRPr="004121E7">
        <w:rPr>
          <w:rFonts w:ascii="Times New Roman" w:hAnsi="Times New Roman" w:cs="Times New Roman"/>
          <w:sz w:val="24"/>
          <w:szCs w:val="24"/>
        </w:rPr>
        <w:t>Žin</w:t>
      </w:r>
      <w:proofErr w:type="spellEnd"/>
      <w:r w:rsidRPr="004121E7">
        <w:rPr>
          <w:rFonts w:ascii="Times New Roman" w:hAnsi="Times New Roman" w:cs="Times New Roman"/>
          <w:sz w:val="24"/>
          <w:szCs w:val="24"/>
        </w:rPr>
        <w:t>., 2012, Nr. 76</w:t>
      </w:r>
      <w:r w:rsidRPr="004121E7">
        <w:rPr>
          <w:rFonts w:ascii="Times New Roman" w:hAnsi="Times New Roman" w:cs="Times New Roman"/>
          <w:bCs/>
          <w:sz w:val="24"/>
          <w:szCs w:val="24"/>
        </w:rPr>
        <w:t>-</w:t>
      </w:r>
      <w:r w:rsidRPr="004121E7">
        <w:rPr>
          <w:rFonts w:ascii="Times New Roman" w:hAnsi="Times New Roman" w:cs="Times New Roman"/>
          <w:sz w:val="24"/>
          <w:szCs w:val="24"/>
        </w:rPr>
        <w:t>3957);</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bCs/>
          <w:iCs/>
          <w:sz w:val="24"/>
          <w:szCs w:val="24"/>
        </w:rPr>
        <w:t>5. Mokymosi krypčių pasirinkimo galimybių didinimo 14–19 metų mokiniams modelio aprašas,</w:t>
      </w:r>
      <w:r w:rsidRPr="004121E7">
        <w:rPr>
          <w:rFonts w:ascii="Times New Roman" w:hAnsi="Times New Roman" w:cs="Times New Roman"/>
          <w:sz w:val="24"/>
          <w:szCs w:val="24"/>
        </w:rPr>
        <w:t xml:space="preserve"> patvirtintas Lietuvos Respublikos švietimo ir mokslo ministro 2008 m. kovo 15 d. įsakymu Nr. ISAK-715 (</w:t>
      </w:r>
      <w:proofErr w:type="spellStart"/>
      <w:r w:rsidRPr="004121E7">
        <w:rPr>
          <w:rFonts w:ascii="Times New Roman" w:hAnsi="Times New Roman" w:cs="Times New Roman"/>
          <w:sz w:val="24"/>
          <w:szCs w:val="24"/>
        </w:rPr>
        <w:t>Žin</w:t>
      </w:r>
      <w:proofErr w:type="spellEnd"/>
      <w:r w:rsidRPr="004121E7">
        <w:rPr>
          <w:rFonts w:ascii="Times New Roman" w:hAnsi="Times New Roman" w:cs="Times New Roman"/>
          <w:sz w:val="24"/>
          <w:szCs w:val="24"/>
        </w:rPr>
        <w:t>., 2008, Nr. 35-1260)“;</w:t>
      </w:r>
    </w:p>
    <w:p w:rsidR="004121E7" w:rsidRPr="004121E7" w:rsidRDefault="004121E7" w:rsidP="004121E7">
      <w:pPr>
        <w:jc w:val="both"/>
        <w:rPr>
          <w:rFonts w:ascii="Times New Roman" w:hAnsi="Times New Roman" w:cs="Times New Roman"/>
          <w:bCs/>
          <w:iCs/>
          <w:sz w:val="24"/>
          <w:szCs w:val="24"/>
        </w:rPr>
      </w:pPr>
      <w:r w:rsidRPr="004121E7">
        <w:rPr>
          <w:rFonts w:ascii="Times New Roman" w:hAnsi="Times New Roman" w:cs="Times New Roman"/>
          <w:bCs/>
          <w:iCs/>
          <w:sz w:val="24"/>
          <w:szCs w:val="24"/>
        </w:rPr>
        <w:t xml:space="preserve">6. Europos Komisijos komunikate Europos Parlamentui, Tarybai, Europos ekonomikos ir socialinių reikalų komitetui ir Regionų komitetui: Švietimo persvarstymas. Investavimas į gebėjimus siekiant geresnių socialinių ir ekonominių rezultatų (Strasbūras, 2012 11 20 COM(2012) 669 </w:t>
      </w:r>
      <w:proofErr w:type="spellStart"/>
      <w:r w:rsidRPr="004121E7">
        <w:rPr>
          <w:rFonts w:ascii="Times New Roman" w:hAnsi="Times New Roman" w:cs="Times New Roman"/>
          <w:bCs/>
          <w:iCs/>
          <w:sz w:val="24"/>
          <w:szCs w:val="24"/>
        </w:rPr>
        <w:t>final</w:t>
      </w:r>
      <w:proofErr w:type="spellEnd"/>
      <w:r w:rsidRPr="004121E7">
        <w:rPr>
          <w:rFonts w:ascii="Times New Roman" w:hAnsi="Times New Roman" w:cs="Times New Roman"/>
          <w:bCs/>
          <w:iCs/>
          <w:sz w:val="24"/>
          <w:szCs w:val="24"/>
        </w:rPr>
        <w:t>);</w:t>
      </w:r>
    </w:p>
    <w:p w:rsidR="004121E7" w:rsidRPr="004121E7" w:rsidRDefault="004121E7" w:rsidP="004121E7">
      <w:pPr>
        <w:jc w:val="both"/>
        <w:rPr>
          <w:rFonts w:ascii="Times New Roman" w:hAnsi="Times New Roman" w:cs="Times New Roman"/>
          <w:bCs/>
          <w:iCs/>
          <w:sz w:val="24"/>
          <w:szCs w:val="24"/>
        </w:rPr>
      </w:pPr>
      <w:r w:rsidRPr="004121E7">
        <w:rPr>
          <w:rFonts w:ascii="Times New Roman" w:hAnsi="Times New Roman" w:cs="Times New Roman"/>
          <w:bCs/>
          <w:iCs/>
          <w:sz w:val="24"/>
          <w:szCs w:val="24"/>
        </w:rPr>
        <w:t xml:space="preserve">7. Valstybinės švietimo 2013–2022 metų strategijos projekte </w:t>
      </w:r>
    </w:p>
    <w:p w:rsidR="004121E7" w:rsidRPr="004121E7" w:rsidRDefault="004121E7" w:rsidP="004121E7">
      <w:pPr>
        <w:jc w:val="both"/>
        <w:rPr>
          <w:rFonts w:ascii="Times New Roman" w:hAnsi="Times New Roman" w:cs="Times New Roman"/>
          <w:bCs/>
          <w:iCs/>
          <w:sz w:val="24"/>
          <w:szCs w:val="24"/>
        </w:rPr>
      </w:pPr>
      <w:r w:rsidRPr="004121E7">
        <w:rPr>
          <w:rFonts w:ascii="Times New Roman" w:hAnsi="Times New Roman" w:cs="Times New Roman"/>
          <w:bCs/>
          <w:iCs/>
          <w:sz w:val="24"/>
          <w:szCs w:val="24"/>
        </w:rPr>
        <w:t>(</w:t>
      </w:r>
      <w:hyperlink r:id="rId7" w:history="1">
        <w:r w:rsidRPr="004121E7">
          <w:rPr>
            <w:rStyle w:val="Hipersaitas"/>
            <w:rFonts w:ascii="Times New Roman" w:hAnsi="Times New Roman" w:cs="Times New Roman"/>
            <w:sz w:val="24"/>
            <w:szCs w:val="24"/>
          </w:rPr>
          <w:t>http://www3.lrs.lt/pls/inter3/dokpaieska.showdoc_l?p_id=438859</w:t>
        </w:r>
      </w:hyperlink>
      <w:r w:rsidRPr="004121E7">
        <w:rPr>
          <w:rFonts w:ascii="Times New Roman" w:hAnsi="Times New Roman" w:cs="Times New Roman"/>
          <w:bCs/>
          <w:iCs/>
          <w:sz w:val="24"/>
          <w:szCs w:val="24"/>
        </w:rPr>
        <w:t>).</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I-</w:t>
      </w:r>
      <w:proofErr w:type="spellStart"/>
      <w:r w:rsidRPr="004121E7">
        <w:rPr>
          <w:rFonts w:ascii="Times New Roman" w:hAnsi="Times New Roman" w:cs="Times New Roman"/>
          <w:sz w:val="24"/>
          <w:szCs w:val="24"/>
        </w:rPr>
        <w:t>osios</w:t>
      </w:r>
      <w:proofErr w:type="spellEnd"/>
      <w:r w:rsidRPr="004121E7">
        <w:rPr>
          <w:rFonts w:ascii="Times New Roman" w:hAnsi="Times New Roman" w:cs="Times New Roman"/>
          <w:sz w:val="24"/>
          <w:szCs w:val="24"/>
        </w:rPr>
        <w:t xml:space="preserve"> alternatyvos įgyvendinimui svarbios ugdymo organizavimo moduliais, kaip vienos iš ugdymo organizavimo formų, galimybės išdėstytos </w:t>
      </w:r>
      <w:r w:rsidRPr="004121E7">
        <w:rPr>
          <w:rFonts w:ascii="Times New Roman" w:hAnsi="Times New Roman" w:cs="Times New Roman"/>
          <w:i/>
          <w:sz w:val="24"/>
          <w:szCs w:val="24"/>
        </w:rPr>
        <w:t>Lietuvos Respublikos švietimo įstatymo</w:t>
      </w:r>
      <w:r w:rsidRPr="004121E7">
        <w:rPr>
          <w:rFonts w:ascii="Times New Roman" w:hAnsi="Times New Roman" w:cs="Times New Roman"/>
          <w:sz w:val="24"/>
          <w:szCs w:val="24"/>
        </w:rPr>
        <w:t xml:space="preserve"> straipsniuose, kuriuose apibrėžiamos </w:t>
      </w:r>
      <w:r w:rsidRPr="004121E7">
        <w:rPr>
          <w:rFonts w:ascii="Times New Roman" w:hAnsi="Times New Roman" w:cs="Times New Roman"/>
          <w:i/>
          <w:sz w:val="24"/>
          <w:szCs w:val="24"/>
        </w:rPr>
        <w:t>ugdymo turinio</w:t>
      </w:r>
      <w:r w:rsidRPr="004121E7">
        <w:rPr>
          <w:rFonts w:ascii="Times New Roman" w:hAnsi="Times New Roman" w:cs="Times New Roman"/>
          <w:sz w:val="24"/>
          <w:szCs w:val="24"/>
        </w:rPr>
        <w:t xml:space="preserve"> ir </w:t>
      </w:r>
      <w:r w:rsidRPr="004121E7">
        <w:rPr>
          <w:rFonts w:ascii="Times New Roman" w:hAnsi="Times New Roman" w:cs="Times New Roman"/>
          <w:i/>
          <w:sz w:val="24"/>
          <w:szCs w:val="24"/>
        </w:rPr>
        <w:t>švietimo programos modulio</w:t>
      </w:r>
      <w:r w:rsidRPr="004121E7">
        <w:rPr>
          <w:rFonts w:ascii="Times New Roman" w:hAnsi="Times New Roman" w:cs="Times New Roman"/>
          <w:sz w:val="24"/>
          <w:szCs w:val="24"/>
        </w:rPr>
        <w:t xml:space="preserve"> sąvokos, nurodoma, kad ugdymo paskirtis tiesiogiai siejasi su ugdymo organizavimo moduliais aprašų pagrindine idėja „... išugdyti siekimą ir gebėjimą apsispręsti, pasirinkti ir mokytis toliau“, nurodoma, kad „Į pagrindinio ugdymo programų antrąją dalį gali būti įtraukiami profesinio mokymo programų moduliai ir įskaitomi tęsiant mokymąsi pagal profesinio mokymo programas švietimo ir mokslo ministro nustatyta tvarka. Pagrindinis ugdymas gali būti vykdomas kartu su dailės, muzikiniu, meniniu, sportiniu ar kitu ugdymu.“</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Švietimo įstatymo 27 straipsnio 2 dalyje nurodoma, kad „mokiniui suteikiama galimybė pagal gebėjimus ir polinkius rinktis švietimo programas, skirtingus jų variantus, švietimo programų</w:t>
      </w:r>
      <w:r w:rsidRPr="004121E7">
        <w:rPr>
          <w:rFonts w:ascii="Times New Roman" w:hAnsi="Times New Roman" w:cs="Times New Roman"/>
          <w:b/>
          <w:bCs/>
          <w:sz w:val="24"/>
          <w:szCs w:val="24"/>
        </w:rPr>
        <w:t xml:space="preserve"> </w:t>
      </w:r>
      <w:r w:rsidRPr="004121E7">
        <w:rPr>
          <w:rFonts w:ascii="Times New Roman" w:hAnsi="Times New Roman" w:cs="Times New Roman"/>
          <w:sz w:val="24"/>
          <w:szCs w:val="24"/>
        </w:rPr>
        <w:t xml:space="preserve">modulius, dalykų kursų programas ...“. Tačiau tame pačiame straipsnyje nurodoma, kad „mokymosi pagal formaliojo švietimo programas (išskyrus aukštojo mokslo studijų programas) formas ir mokymo organizavimo pagal mokymosi formas tvarkos aprašus tvirtina švietimo ir mokslo ministras“. Tai rodo, kad šiuo metu švietime dominuoja centralizuotai valdomas ugdymo organizavimas, kurį pakeisti numato Valstybinės švietimo strategijoje numatytos veiklos kryptys </w:t>
      </w:r>
      <w:r w:rsidRPr="004121E7">
        <w:rPr>
          <w:rFonts w:ascii="Times New Roman" w:hAnsi="Times New Roman" w:cs="Times New Roman"/>
          <w:sz w:val="24"/>
          <w:szCs w:val="24"/>
        </w:rPr>
        <w:lastRenderedPageBreak/>
        <w:t xml:space="preserve">„suteikti daugiau teisių ir atsakomybės mokyklų savininko teises ir pareigas įgyvendinančioms institucijoms, dalyvių susirinkimams (savininkams) bei pačioms mokykloms“. </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 xml:space="preserve">Švietimo įstatymo 46 straipsnio 1 dalies 5 punkte numatoma mokinio teisė „pasirinkti formaliojo švietimo programas papildančius ir jo saviraiškos </w:t>
      </w:r>
      <w:proofErr w:type="gramStart"/>
      <w:r w:rsidRPr="004121E7">
        <w:rPr>
          <w:rFonts w:ascii="Times New Roman" w:hAnsi="Times New Roman" w:cs="Times New Roman"/>
          <w:sz w:val="24"/>
          <w:szCs w:val="24"/>
        </w:rPr>
        <w:t>poreikius</w:t>
      </w:r>
      <w:proofErr w:type="gramEnd"/>
      <w:r w:rsidRPr="004121E7">
        <w:rPr>
          <w:rFonts w:ascii="Times New Roman" w:hAnsi="Times New Roman" w:cs="Times New Roman"/>
          <w:sz w:val="24"/>
          <w:szCs w:val="24"/>
        </w:rPr>
        <w:t xml:space="preserve"> tenkinančius šių programų modulius, pasirenkamųjų dalykų programas, kursus“, tačiau ši teisė dalinai yra deklaratyvaus pobūdžio, nes realios mokyklų galimybės teikti tokius kursus ir modulius yra gana ribotos. </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 xml:space="preserve">2013–2014 ir 2014–2015 mokslo metų pagrindinio ir vidurinio ugdymo programų bendrieji ugdymo planai (toliau – Bendrieji ugdymo planai), kurie buvo pakoreguoti atsižvelgiant į siūlomas alternatyvas ir PROJEKTE dalyvaujančių mokyklų patirtį, sudaro teisines prielaidas įgyvendinti gana įvairias ugdymo organizavimo moduliais alternatyvas. Pavyzdžiui, aptariamo dokumento VIII skyrius „Dalykų mokymo intensyvinimas“ numato, kaip „mokykla gali Bendruosiuose ugdymo planuose dvejiems metams nustatytą pamokų skaičių skirti vieneriems metams ar trumpesniam laikotarpiui ir dalyko bendrojoje programoje numatytus pasiekimus pasiekti per metus ar trumpesnį laikotarpį.“ Kitas pavyzdys, dokumento 106.4. punkte nustatyta, kad mokykla, formuodama ir įgyvendindama mokyklos ugdymo turinį, „gali dalykų bendrųjų programų turinį 9–10 (gimnazijų I–II) klasėse skaidyti į modulius, kurių turinys ir skaičius pasirenkamas, atsižvelgus į mokinių </w:t>
      </w:r>
      <w:proofErr w:type="gramStart"/>
      <w:r w:rsidRPr="004121E7">
        <w:rPr>
          <w:rFonts w:ascii="Times New Roman" w:hAnsi="Times New Roman" w:cs="Times New Roman"/>
          <w:sz w:val="24"/>
          <w:szCs w:val="24"/>
        </w:rPr>
        <w:t>poreikius</w:t>
      </w:r>
      <w:proofErr w:type="gramEnd"/>
      <w:r w:rsidRPr="004121E7">
        <w:rPr>
          <w:rFonts w:ascii="Times New Roman" w:hAnsi="Times New Roman" w:cs="Times New Roman"/>
          <w:sz w:val="24"/>
          <w:szCs w:val="24"/>
        </w:rPr>
        <w:t xml:space="preserve"> ir dalyko bendrojoje programoje numatytus mokinių pasiekimus. Ugdymo programą įgyvendinti per dalykų modulius“. Apibendrinant, galima teigti, kad naujieji bendrieji ugdymo planai, Mokymosi pagal formaliojo švietimo programas tvarkos aprašas ir </w:t>
      </w:r>
      <w:r w:rsidRPr="004121E7">
        <w:rPr>
          <w:rFonts w:ascii="Times New Roman" w:hAnsi="Times New Roman" w:cs="Times New Roman"/>
          <w:bCs/>
          <w:iCs/>
          <w:sz w:val="24"/>
          <w:szCs w:val="24"/>
        </w:rPr>
        <w:t>Mokymosi krypčių pasirinkimo galimybių didinimo 14–19 metų mokiniams modelio aprašas</w:t>
      </w:r>
      <w:proofErr w:type="gramStart"/>
      <w:r w:rsidRPr="004121E7">
        <w:rPr>
          <w:rFonts w:ascii="Times New Roman" w:hAnsi="Times New Roman" w:cs="Times New Roman"/>
          <w:bCs/>
          <w:iCs/>
          <w:sz w:val="24"/>
          <w:szCs w:val="24"/>
        </w:rPr>
        <w:t xml:space="preserve"> </w:t>
      </w:r>
      <w:r w:rsidRPr="004121E7">
        <w:rPr>
          <w:rFonts w:ascii="Times New Roman" w:hAnsi="Times New Roman" w:cs="Times New Roman"/>
          <w:sz w:val="24"/>
          <w:szCs w:val="24"/>
        </w:rPr>
        <w:t xml:space="preserve"> </w:t>
      </w:r>
      <w:proofErr w:type="gramEnd"/>
      <w:r w:rsidRPr="004121E7">
        <w:rPr>
          <w:rFonts w:ascii="Times New Roman" w:hAnsi="Times New Roman" w:cs="Times New Roman"/>
          <w:sz w:val="24"/>
          <w:szCs w:val="24"/>
        </w:rPr>
        <w:t xml:space="preserve">leidžia mokykloms ir skatina jas 9-10 klasių </w:t>
      </w:r>
      <w:proofErr w:type="spellStart"/>
      <w:r w:rsidRPr="004121E7">
        <w:rPr>
          <w:rFonts w:ascii="Times New Roman" w:hAnsi="Times New Roman" w:cs="Times New Roman"/>
          <w:sz w:val="24"/>
          <w:szCs w:val="24"/>
        </w:rPr>
        <w:t>koncentre</w:t>
      </w:r>
      <w:proofErr w:type="spellEnd"/>
      <w:r w:rsidRPr="004121E7">
        <w:rPr>
          <w:rFonts w:ascii="Times New Roman" w:hAnsi="Times New Roman" w:cs="Times New Roman"/>
          <w:sz w:val="24"/>
          <w:szCs w:val="24"/>
        </w:rPr>
        <w:t xml:space="preserve"> diegti ugdymo organizavimą moduliais. Tačiau rimtų kliūčių organizuojant ugdymą moduliais mokykloms kyla dėl kitų, daug sunkiau įveikiamų priežasčių – mokytojų ir mokinių motyvacijos stokos, patyrimo ir efektyvių metodikų nebuvimo, jauno mokinių amžiaus ir nepakankamo mokėjimo mokytis, tinkamų mokymo ir mokymosi priemonių trūkumo, didelių personalo darbo sąnaudų ir kt.</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 xml:space="preserve">Direktyviniai švietimo dokumentai, tokie, kaip </w:t>
      </w:r>
      <w:r w:rsidRPr="004121E7">
        <w:rPr>
          <w:rFonts w:ascii="Times New Roman" w:hAnsi="Times New Roman" w:cs="Times New Roman"/>
          <w:bCs/>
          <w:iCs/>
          <w:sz w:val="24"/>
          <w:szCs w:val="24"/>
        </w:rPr>
        <w:t>Europos Komisijos komunikatas Europos Parlamentui, Tarybai, Europos ekonomikos ir socialinių reikalų komitetui ir Regionų komitetui (2012) ir Valstybinės švietimo 2013–2022 metų strategijos projektas numato: „skatinti atvirą ir lankstų mokymąsi“, „gerinti mokymosi rezultatus, vertinimą ir pripažinimą“, mokymo (visų pirma profesinio) programas geriau pritaikyti prie darbo vietos reikmių, „pašalinti ribojimus švietimo turinio įvairovei, atveriant daugiau erdvės mokinių, tėvų ir socialinių partnerių iniciatyvoms“, „gilinti formaliojo ir neformaliojo švietimo integralumą bei tarpusavio papildomumą“, „gerinti teikiamų paslaugų kokybę ir sutelkti dėmesį į švietimo nesėkmių prevenciją“, stiprinti su mokymosi sunkumais susijusią ankstyvą patikrą ir intervenciją, dėti daugiau pastangų populiarinant mokslo, technologijų, inžinerijos ir matematikos sritis, kaip prioritetines švietimo sritis, lituanistinį švietimą „įtvirtinti, kaip humanistinio ugdymo – bendrųjų kultūrinių kompetencijų lavinimo, kūrybingo asmens bei visuomenės ugdymo – pagrindą“. Ugdymo organizavimas moduliais galėtų padėti efektyviau įgyvendinti kiekvieną iš išvardytų siekių.</w:t>
      </w:r>
    </w:p>
    <w:p w:rsidR="004121E7" w:rsidRPr="004121E7" w:rsidRDefault="004121E7" w:rsidP="004121E7">
      <w:pPr>
        <w:jc w:val="both"/>
        <w:rPr>
          <w:rFonts w:ascii="Times New Roman" w:hAnsi="Times New Roman" w:cs="Times New Roman"/>
          <w:b/>
          <w:i/>
          <w:sz w:val="24"/>
          <w:szCs w:val="24"/>
        </w:rPr>
      </w:pPr>
      <w:r w:rsidRPr="004121E7">
        <w:rPr>
          <w:rFonts w:ascii="Times New Roman" w:hAnsi="Times New Roman" w:cs="Times New Roman"/>
          <w:b/>
          <w:i/>
          <w:sz w:val="24"/>
          <w:szCs w:val="24"/>
        </w:rPr>
        <w:t>Išvados</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1. Ugdymo organizavimas moduliais yra perspektyvi bendrojo ugdymo 9-10 klasėse kaitos kryptis, kuri padėtų įgyvendinti tiek Lietuvos, tiek ir Europos Sąjungos strateginius švietimo siekius.</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lastRenderedPageBreak/>
        <w:t>2. Siūlomos I-</w:t>
      </w:r>
      <w:proofErr w:type="spellStart"/>
      <w:r w:rsidRPr="004121E7">
        <w:rPr>
          <w:rFonts w:ascii="Times New Roman" w:hAnsi="Times New Roman" w:cs="Times New Roman"/>
          <w:sz w:val="24"/>
          <w:szCs w:val="24"/>
        </w:rPr>
        <w:t>osios</w:t>
      </w:r>
      <w:proofErr w:type="spellEnd"/>
      <w:r w:rsidRPr="004121E7">
        <w:rPr>
          <w:rFonts w:ascii="Times New Roman" w:hAnsi="Times New Roman" w:cs="Times New Roman"/>
          <w:sz w:val="24"/>
          <w:szCs w:val="24"/>
        </w:rPr>
        <w:t xml:space="preserve"> alternatyvos, grindžiamos valstybinių institucijų ir mokyklos glaudžiu bendradarbiavimu, įgyvendinimui šalyje jau dabar yra sudarytos pakankamos teisinės prielaidos. </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3. Formaliojo švietimo kokybės užtikrinimo sistemos koncepcijos (Valstybės žinios, 2008-12-02, Nr. 138-5461) konkretizavimas, teisės aktais reglamentuojant mokyklos lygmens kokybės užtikrinimo sistemos darbą ir rodiklius, paskatintų siūlomos I-</w:t>
      </w:r>
      <w:proofErr w:type="spellStart"/>
      <w:r w:rsidRPr="004121E7">
        <w:rPr>
          <w:rFonts w:ascii="Times New Roman" w:hAnsi="Times New Roman" w:cs="Times New Roman"/>
          <w:sz w:val="24"/>
          <w:szCs w:val="24"/>
        </w:rPr>
        <w:t>osios</w:t>
      </w:r>
      <w:proofErr w:type="spellEnd"/>
      <w:r w:rsidRPr="004121E7">
        <w:rPr>
          <w:rFonts w:ascii="Times New Roman" w:hAnsi="Times New Roman" w:cs="Times New Roman"/>
          <w:sz w:val="24"/>
          <w:szCs w:val="24"/>
        </w:rPr>
        <w:t xml:space="preserve"> alternatyvos įgyvendinimo plėtrą, padidintų mokyklų motyvaciją tobulinti ugdymo organizavimą 9-10 klasėse ir padėtų mokykloms sėkmingiau įgyvendinti numatytus tikslus ir uždavinius.</w:t>
      </w:r>
    </w:p>
    <w:p w:rsidR="004121E7" w:rsidRPr="004121E7" w:rsidRDefault="004121E7" w:rsidP="004121E7">
      <w:pPr>
        <w:jc w:val="both"/>
        <w:rPr>
          <w:rFonts w:ascii="Times New Roman" w:hAnsi="Times New Roman" w:cs="Times New Roman"/>
          <w:sz w:val="24"/>
          <w:szCs w:val="24"/>
        </w:rPr>
      </w:pPr>
      <w:r w:rsidRPr="004121E7">
        <w:rPr>
          <w:rFonts w:ascii="Times New Roman" w:hAnsi="Times New Roman" w:cs="Times New Roman"/>
          <w:sz w:val="24"/>
          <w:szCs w:val="24"/>
        </w:rPr>
        <w:t>4. Perimant patirtį iš užsienio šalių, pasiekusių geriausių bendrojo ugdymo rezultatų, rengiant pagrindinio ir vidurinio ugdymo programų bendruosius ugdymo planus, reikėtų reglamentuoti tik akademinių dalykų branduoliui įgyvendinti būtiną valandų minimumą ir numatyti galimybę mokykloms savo nuožiūra laisvai perskirstyti likusias dalykams skirtas valandas.</w:t>
      </w:r>
    </w:p>
    <w:p w:rsidR="004121E7" w:rsidRPr="004121E7" w:rsidRDefault="004121E7" w:rsidP="004121E7">
      <w:pPr>
        <w:jc w:val="both"/>
        <w:rPr>
          <w:rFonts w:ascii="Times New Roman" w:hAnsi="Times New Roman" w:cs="Times New Roman"/>
          <w:sz w:val="24"/>
          <w:szCs w:val="24"/>
        </w:rPr>
      </w:pPr>
    </w:p>
    <w:p w:rsidR="00554A13" w:rsidRPr="004121E7" w:rsidRDefault="00554A13" w:rsidP="004121E7">
      <w:pPr>
        <w:jc w:val="both"/>
        <w:rPr>
          <w:rFonts w:ascii="Times New Roman" w:hAnsi="Times New Roman" w:cs="Times New Roman"/>
          <w:sz w:val="24"/>
          <w:szCs w:val="24"/>
        </w:rPr>
      </w:pPr>
    </w:p>
    <w:sectPr w:rsidR="00554A13" w:rsidRPr="004121E7">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98" w:rsidRDefault="005C5698" w:rsidP="00E02793">
      <w:pPr>
        <w:spacing w:after="0" w:line="240" w:lineRule="auto"/>
      </w:pPr>
      <w:r>
        <w:separator/>
      </w:r>
    </w:p>
  </w:endnote>
  <w:endnote w:type="continuationSeparator" w:id="0">
    <w:p w:rsidR="005C5698" w:rsidRDefault="005C5698" w:rsidP="00E0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3" w:rsidRDefault="00E0279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3" w:rsidRDefault="00E0279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3" w:rsidRDefault="00E0279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98" w:rsidRDefault="005C5698" w:rsidP="00E02793">
      <w:pPr>
        <w:spacing w:after="0" w:line="240" w:lineRule="auto"/>
      </w:pPr>
      <w:r>
        <w:separator/>
      </w:r>
    </w:p>
  </w:footnote>
  <w:footnote w:type="continuationSeparator" w:id="0">
    <w:p w:rsidR="005C5698" w:rsidRDefault="005C5698" w:rsidP="00E02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3" w:rsidRDefault="00E02793">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4124" o:spid="_x0000_s2050" type="#_x0000_t136" style="position:absolute;margin-left:0;margin-top:0;width:509.55pt;height:169.85pt;rotation:315;z-index:-251655168;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3" w:rsidRDefault="00E02793">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4125" o:spid="_x0000_s2051" type="#_x0000_t136" style="position:absolute;margin-left:0;margin-top:0;width:509.55pt;height:169.85pt;rotation:315;z-index:-251653120;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3" w:rsidRDefault="00E02793">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4123" o:spid="_x0000_s2049" type="#_x0000_t136" style="position:absolute;margin-left:0;margin-top:0;width:509.55pt;height:169.85pt;rotation:315;z-index:-251657216;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F3"/>
    <w:rsid w:val="002B6FF3"/>
    <w:rsid w:val="004121E7"/>
    <w:rsid w:val="00554A13"/>
    <w:rsid w:val="005C5698"/>
    <w:rsid w:val="00E02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121E7"/>
    <w:rPr>
      <w:color w:val="0000FF" w:themeColor="hyperlink"/>
      <w:u w:val="single"/>
    </w:rPr>
  </w:style>
  <w:style w:type="paragraph" w:styleId="Antrats">
    <w:name w:val="header"/>
    <w:basedOn w:val="prastasis"/>
    <w:link w:val="AntratsDiagrama"/>
    <w:uiPriority w:val="99"/>
    <w:unhideWhenUsed/>
    <w:rsid w:val="00E027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2793"/>
  </w:style>
  <w:style w:type="paragraph" w:styleId="Porat">
    <w:name w:val="footer"/>
    <w:basedOn w:val="prastasis"/>
    <w:link w:val="PoratDiagrama"/>
    <w:uiPriority w:val="99"/>
    <w:unhideWhenUsed/>
    <w:rsid w:val="00E027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2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121E7"/>
    <w:rPr>
      <w:color w:val="0000FF" w:themeColor="hyperlink"/>
      <w:u w:val="single"/>
    </w:rPr>
  </w:style>
  <w:style w:type="paragraph" w:styleId="Antrats">
    <w:name w:val="header"/>
    <w:basedOn w:val="prastasis"/>
    <w:link w:val="AntratsDiagrama"/>
    <w:uiPriority w:val="99"/>
    <w:unhideWhenUsed/>
    <w:rsid w:val="00E027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2793"/>
  </w:style>
  <w:style w:type="paragraph" w:styleId="Porat">
    <w:name w:val="footer"/>
    <w:basedOn w:val="prastasis"/>
    <w:link w:val="PoratDiagrama"/>
    <w:uiPriority w:val="99"/>
    <w:unhideWhenUsed/>
    <w:rsid w:val="00E027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3.lrs.lt/pls/inter3/dokpaieska.showdoc_l?p_id=438859"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4764</Words>
  <Characters>2717</Characters>
  <Application>Microsoft Office Word</Application>
  <DocSecurity>0</DocSecurity>
  <Lines>22</Lines>
  <Paragraphs>14</Paragraphs>
  <ScaleCrop>false</ScaleCrop>
  <Company>Hewlett-Packard Company</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4</cp:revision>
  <dcterms:created xsi:type="dcterms:W3CDTF">2013-09-03T10:46:00Z</dcterms:created>
  <dcterms:modified xsi:type="dcterms:W3CDTF">2013-09-05T12:08:00Z</dcterms:modified>
</cp:coreProperties>
</file>