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CE" w:rsidRPr="009942CE" w:rsidRDefault="009942CE" w:rsidP="009942CE">
      <w:pPr>
        <w:spacing w:after="0" w:line="360" w:lineRule="auto"/>
        <w:rPr>
          <w:rFonts w:ascii="Times New Roman" w:eastAsia="Calibri" w:hAnsi="Times New Roman" w:cs="Times New Roman"/>
          <w:b/>
          <w:sz w:val="24"/>
          <w:szCs w:val="24"/>
        </w:rPr>
      </w:pPr>
      <w:bookmarkStart w:id="0" w:name="_GoBack"/>
      <w:bookmarkEnd w:id="0"/>
      <w:r w:rsidRPr="009942CE">
        <w:rPr>
          <w:rFonts w:ascii="Times New Roman" w:eastAsia="Calibri" w:hAnsi="Times New Roman" w:cs="Times New Roman"/>
          <w:b/>
          <w:sz w:val="24"/>
          <w:szCs w:val="24"/>
        </w:rPr>
        <w:t>II-OSIOS ALTERNATYVOS PAGRINDIMAS IR APRAŠYMAS</w:t>
      </w:r>
    </w:p>
    <w:p w:rsidR="009942CE" w:rsidRPr="009942CE" w:rsidRDefault="009942CE" w:rsidP="009942CE">
      <w:pPr>
        <w:spacing w:line="360" w:lineRule="auto"/>
        <w:jc w:val="both"/>
        <w:rPr>
          <w:rFonts w:ascii="Times New Roman" w:eastAsia="Calibri" w:hAnsi="Times New Roman" w:cs="Times New Roman"/>
          <w:sz w:val="24"/>
          <w:szCs w:val="24"/>
        </w:rPr>
      </w:pPr>
    </w:p>
    <w:p w:rsidR="009942CE" w:rsidRPr="009942CE" w:rsidRDefault="009942CE" w:rsidP="009942CE">
      <w:pPr>
        <w:spacing w:after="120"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b/>
          <w:sz w:val="24"/>
          <w:szCs w:val="24"/>
        </w:rPr>
        <w:t>II-oji ugdymo organizavimo moduliais 9-10 klasėse alternatyva</w:t>
      </w:r>
      <w:r w:rsidRPr="009942CE">
        <w:rPr>
          <w:rFonts w:ascii="Times New Roman" w:eastAsia="Calibri" w:hAnsi="Times New Roman" w:cs="Times New Roman"/>
          <w:sz w:val="24"/>
          <w:szCs w:val="24"/>
        </w:rPr>
        <w:t xml:space="preserve"> – tai pokyčių tam tikroje dalyje mokyklų planavimo ir įgyvendinimo alternatyva, leidžianti minimaliomis sąnaudomis ir pasinaudojant esamomis stiprybėmis greitai pagerinti ugdymo situaciją, padidinant mokymosi krypties pasirinkimo galimybes, ir išvengti didelių nesėkmių rizikos. Ugdymo organizavimo pokyčių iniciatorius būtų pati mokykla. Nacionalinis lygmuo jai teiktų visokeriopą paramą. Ugdymo organizavimą mokykla tobulintų atsižvelgdama į išsikeltus ugdymo kokybės kriterijus, bendruomenės </w:t>
      </w:r>
      <w:proofErr w:type="gramStart"/>
      <w:r w:rsidRPr="009942CE">
        <w:rPr>
          <w:rFonts w:ascii="Times New Roman" w:eastAsia="Calibri" w:hAnsi="Times New Roman" w:cs="Times New Roman"/>
          <w:sz w:val="24"/>
          <w:szCs w:val="24"/>
        </w:rPr>
        <w:t>poreikius</w:t>
      </w:r>
      <w:proofErr w:type="gramEnd"/>
      <w:r w:rsidRPr="009942CE">
        <w:rPr>
          <w:rFonts w:ascii="Times New Roman" w:eastAsia="Calibri" w:hAnsi="Times New Roman" w:cs="Times New Roman"/>
          <w:sz w:val="24"/>
          <w:szCs w:val="24"/>
        </w:rPr>
        <w:t xml:space="preserve"> ir mokyklos galimybes. Mokykla pati pasirengtų (pagal nacionalinio lygmens metodines rekomendacijas, naudodamasi valstybės teikiama pagalba) mokyklos lygmens ugdymo turinį ir reikalingą mokymo ir mokymosi medžiagą. Mokykla pati rinktųsi ugdymo organizavimo priemones, kurios padėtų siekti išsikeltų kokybės tikslų. Būtų vadovaujamasi prielaida, jog nacionalinio lygmens ugdymo planai, apskaitos sistema, finansavimo tvarka, mokyklos vadybą reglamentuojantys dokumentai yra pakankamai lankstūs, kad mokykla galėtų juos prisitaikyti savo </w:t>
      </w:r>
      <w:proofErr w:type="gramStart"/>
      <w:r w:rsidRPr="009942CE">
        <w:rPr>
          <w:rFonts w:ascii="Times New Roman" w:eastAsia="Calibri" w:hAnsi="Times New Roman" w:cs="Times New Roman"/>
          <w:sz w:val="24"/>
          <w:szCs w:val="24"/>
        </w:rPr>
        <w:t>poreikiams</w:t>
      </w:r>
      <w:proofErr w:type="gramEnd"/>
      <w:r w:rsidRPr="009942CE">
        <w:rPr>
          <w:rFonts w:ascii="Times New Roman" w:eastAsia="Calibri" w:hAnsi="Times New Roman" w:cs="Times New Roman"/>
          <w:sz w:val="24"/>
          <w:szCs w:val="24"/>
        </w:rPr>
        <w:t>. Mokiniai ir tėvai aktyviai dalyvautų pasirenkant ugdymo turinį ir ugdymo organizavimo metodus, vertinant mokyklos darbo rezultatus ir mokyklos valdymą. Mokykla pasinaudotų visomis jai tinkančiomis projekte parengtomis programomis, rekomendacijomis ir priemonėmis, taip pat galėtų konsultuotis su PROJEKTE dalyvavusiomis mokyklomis.</w:t>
      </w:r>
    </w:p>
    <w:p w:rsidR="009942CE" w:rsidRPr="009942CE" w:rsidRDefault="009942CE" w:rsidP="009942CE">
      <w:pPr>
        <w:tabs>
          <w:tab w:val="left" w:pos="5529"/>
        </w:tabs>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 xml:space="preserve">II-oji alternatyva skirta mokykloms, kurių savarankiškumo organizuojant ugdymą nuostatos yra stiprios, organizaciniai gebėjimai geri, o </w:t>
      </w:r>
      <w:r w:rsidRPr="009942CE">
        <w:rPr>
          <w:rFonts w:ascii="Times New Roman" w:eastAsia="Times New Roman" w:hAnsi="Times New Roman" w:cs="Times New Roman"/>
          <w:color w:val="222222"/>
          <w:sz w:val="24"/>
          <w:szCs w:val="24"/>
          <w:lang w:eastAsia="lt-LT"/>
        </w:rPr>
        <w:t>mokyklos savininko teises ir pareigas įgyvendinanti institucija (savininkas, dalyvių susirinkimas) pasitiki mokykla ir suteikia jai daug savarankiškumo,</w:t>
      </w:r>
      <w:r w:rsidRPr="009942CE">
        <w:rPr>
          <w:rFonts w:ascii="Times New Roman" w:eastAsia="Calibri" w:hAnsi="Times New Roman" w:cs="Times New Roman"/>
          <w:sz w:val="24"/>
          <w:szCs w:val="24"/>
        </w:rPr>
        <w:t xml:space="preserve"> dėl viso komplekso palankių aplinkybių – mokykloje susiklosčiusios geros mokyklos kultūros, stiprių vadovų, kompetentingų mokytojų, veiklios bendruomenės, gabių motyvuotų mokinių, dėl ypatingos steigėjų paramos ir/ar optimalaus mokyklos dydžio. Nacionalinio lygmens pagalba šiuo atveju nėra esminė – tereikia neriboti savarankiškumo ir suteikti mokykloms galimybę pačioms ieškoti paramos, kai jos tikrai prireikia. Bendradarbiavimas su valstybės institucijomis šioms mokykloms taip pat gali daug padėti (kaip ir mažiau savarankiškoms mokykloms), bet smulkmeniškas kišimasis į jų darbą – nepageidautinas. Savarankiškas mokyklas nacionalinis lygmuo turėtų paremti teikdamas konsultacijas, pagrįstas rekomendacijas ir siūlydamas lankstų, profesionaliai parengtą ugdymo turinį. Joms dar labiau nei kitoms mokykloms trukdytų smulkmeniškas jų darbo reglamentavimas. </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lastRenderedPageBreak/>
        <w:t>Ši alternatyva grindžiama užsienio šalių ir geriausių Lietuvos mokyklų patirtimi ir prielaida, jog pakankamai savarankiškos mokyklos, siekdamos aukštos ugdymo kokybės 9-10 klasėse, gali pačios įgyvendinti mokyklos bendruomenei aktualias idėjas.</w:t>
      </w:r>
    </w:p>
    <w:p w:rsidR="009942CE" w:rsidRPr="009942CE" w:rsidRDefault="009942CE" w:rsidP="009942CE">
      <w:pPr>
        <w:tabs>
          <w:tab w:val="left" w:pos="5529"/>
        </w:tabs>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Tai patvirtina papildomai išnagrinėta ir apibendrinta 11-os užsienio šalių – Australijos (Viktorija), Kanados (</w:t>
      </w:r>
      <w:proofErr w:type="spellStart"/>
      <w:r w:rsidRPr="009942CE">
        <w:rPr>
          <w:rFonts w:ascii="Times New Roman" w:eastAsia="Calibri" w:hAnsi="Times New Roman" w:cs="Times New Roman"/>
          <w:sz w:val="24"/>
          <w:szCs w:val="24"/>
        </w:rPr>
        <w:t>Alberta</w:t>
      </w:r>
      <w:proofErr w:type="spellEnd"/>
      <w:r w:rsidRPr="009942CE">
        <w:rPr>
          <w:rFonts w:ascii="Times New Roman" w:eastAsia="Calibri" w:hAnsi="Times New Roman" w:cs="Times New Roman"/>
          <w:sz w:val="24"/>
          <w:szCs w:val="24"/>
        </w:rPr>
        <w:t xml:space="preserve"> ir </w:t>
      </w:r>
      <w:proofErr w:type="spellStart"/>
      <w:r w:rsidRPr="009942CE">
        <w:rPr>
          <w:rFonts w:ascii="Times New Roman" w:eastAsia="Calibri" w:hAnsi="Times New Roman" w:cs="Times New Roman"/>
          <w:sz w:val="24"/>
          <w:szCs w:val="24"/>
        </w:rPr>
        <w:t>Ontarijas</w:t>
      </w:r>
      <w:proofErr w:type="spellEnd"/>
      <w:r w:rsidRPr="009942CE">
        <w:rPr>
          <w:rFonts w:ascii="Times New Roman" w:eastAsia="Calibri" w:hAnsi="Times New Roman" w:cs="Times New Roman"/>
          <w:sz w:val="24"/>
          <w:szCs w:val="24"/>
        </w:rPr>
        <w:t xml:space="preserve">), Suomijos, Prancūzijos, Vengrijos, Olandijos, Naujosios Zelandijos, Singapūro, Jungtinės Karalystės (Anglija), Estijos – švietimo sistemų patirtis ir jos pagrindu ekspertų parengtos </w:t>
      </w:r>
      <w:r w:rsidRPr="009942CE">
        <w:rPr>
          <w:rFonts w:ascii="Times New Roman" w:eastAsia="Calibri" w:hAnsi="Times New Roman" w:cs="Times New Roman"/>
          <w:b/>
          <w:i/>
          <w:sz w:val="24"/>
          <w:szCs w:val="24"/>
        </w:rPr>
        <w:t xml:space="preserve">Užsienio šalių patirtimi paremtos rekomendacijos ugdymo </w:t>
      </w:r>
      <w:proofErr w:type="spellStart"/>
      <w:r w:rsidRPr="009942CE">
        <w:rPr>
          <w:rFonts w:ascii="Times New Roman" w:eastAsia="Calibri" w:hAnsi="Times New Roman" w:cs="Times New Roman"/>
          <w:b/>
          <w:i/>
          <w:sz w:val="24"/>
          <w:szCs w:val="24"/>
        </w:rPr>
        <w:t>organozavimui</w:t>
      </w:r>
      <w:proofErr w:type="spellEnd"/>
      <w:r w:rsidRPr="009942CE">
        <w:rPr>
          <w:rFonts w:ascii="Times New Roman" w:eastAsia="Calibri" w:hAnsi="Times New Roman" w:cs="Times New Roman"/>
          <w:b/>
          <w:i/>
          <w:sz w:val="24"/>
          <w:szCs w:val="24"/>
        </w:rPr>
        <w:t xml:space="preserve"> gerinti</w:t>
      </w:r>
      <w:r w:rsidRPr="009942CE">
        <w:rPr>
          <w:rFonts w:ascii="Times New Roman" w:eastAsia="Calibri" w:hAnsi="Times New Roman" w:cs="Times New Roman"/>
          <w:sz w:val="24"/>
          <w:szCs w:val="24"/>
        </w:rPr>
        <w:t xml:space="preserve"> (žr. 2 priedą). </w:t>
      </w:r>
      <w:proofErr w:type="gramStart"/>
      <w:r w:rsidRPr="009942CE">
        <w:rPr>
          <w:rFonts w:ascii="Times New Roman" w:eastAsia="Calibri" w:hAnsi="Times New Roman" w:cs="Times New Roman"/>
          <w:sz w:val="24"/>
          <w:szCs w:val="24"/>
        </w:rPr>
        <w:t>Daugumoje</w:t>
      </w:r>
      <w:proofErr w:type="gramEnd"/>
      <w:r w:rsidRPr="009942CE">
        <w:rPr>
          <w:rFonts w:ascii="Times New Roman" w:eastAsia="Calibri" w:hAnsi="Times New Roman" w:cs="Times New Roman"/>
          <w:sz w:val="24"/>
          <w:szCs w:val="24"/>
        </w:rPr>
        <w:t xml:space="preserve"> išnagrinėtų ugdymo organizavimo pavyzdžių </w:t>
      </w:r>
      <w:r w:rsidRPr="009942CE">
        <w:rPr>
          <w:rFonts w:ascii="Times New Roman" w:eastAsia="Calibri" w:hAnsi="Times New Roman" w:cs="Times New Roman"/>
          <w:color w:val="000000"/>
          <w:sz w:val="24"/>
          <w:szCs w:val="24"/>
        </w:rPr>
        <w:t xml:space="preserve">pastebėta, kad </w:t>
      </w:r>
      <w:r w:rsidRPr="009942CE">
        <w:rPr>
          <w:rFonts w:ascii="Times New Roman" w:eastAsia="Calibri" w:hAnsi="Times New Roman" w:cs="Times New Roman"/>
          <w:sz w:val="24"/>
          <w:szCs w:val="24"/>
        </w:rPr>
        <w:t xml:space="preserve">valstybė stengiasi skatinti ir remti </w:t>
      </w:r>
      <w:r w:rsidRPr="009942CE">
        <w:rPr>
          <w:rFonts w:ascii="Times New Roman" w:eastAsia="Calibri" w:hAnsi="Times New Roman" w:cs="Times New Roman"/>
          <w:color w:val="000000"/>
          <w:sz w:val="24"/>
          <w:szCs w:val="24"/>
        </w:rPr>
        <w:t xml:space="preserve">gerų mokyklų siekius būti savarankiškomis. Švietimo politikai laikosi nuostatos valstybės lygmenyje valandų paskirstymo tarp dalykų smulkmeniškai nereglamentuoti. Kuo pažangesnė šalies švietimo sistema, tuo dažniau mokyklų bendruomenėms leidžiama ne tik pačioms skirstyti dalykų valandas, bet ir, atsižvelgiant į mokinių poreikius, pačioms  rinktis tinkamiausias ugdymo </w:t>
      </w:r>
      <w:r w:rsidRPr="009942CE">
        <w:rPr>
          <w:rFonts w:ascii="Times New Roman" w:eastAsia="Calibri" w:hAnsi="Times New Roman" w:cs="Times New Roman"/>
          <w:sz w:val="24"/>
          <w:szCs w:val="24"/>
        </w:rPr>
        <w:t xml:space="preserve">organizavimo formas. Siekiant, kad mokyklų savarankiškumas, net ir galimų nesėkmių </w:t>
      </w:r>
      <w:r w:rsidRPr="009942CE">
        <w:rPr>
          <w:rFonts w:ascii="Times New Roman" w:eastAsia="Calibri" w:hAnsi="Times New Roman" w:cs="Times New Roman"/>
          <w:color w:val="000000"/>
          <w:sz w:val="24"/>
          <w:szCs w:val="24"/>
        </w:rPr>
        <w:t xml:space="preserve">atskirose mokyklose atvejais, negalėtų iš esmės pakenkti ugdymo kokybei, užsienio šalyse imamasi priemonių, leidžiančių efektyviai kontroliuoti mokyklų darbo rezultatus ir mokinių mokymosi pasiekimų būklę. Tuo tikslu, pavyzdžiui, dažniausiai išskiriamas ugdymo turinio branduolys, detaliai aprašomi į jį įeinančių mokomųjų dalykų orientaciniai mokinių mokymosi pasiekimai (parengiami mokymosi </w:t>
      </w:r>
      <w:r w:rsidRPr="009942CE">
        <w:rPr>
          <w:rFonts w:ascii="Times New Roman" w:eastAsia="Calibri" w:hAnsi="Times New Roman" w:cs="Times New Roman"/>
          <w:sz w:val="24"/>
          <w:szCs w:val="24"/>
        </w:rPr>
        <w:t>pasiekimų standartai) ir parengiami patikimi pasiekimų įvertinimo įrankiai, kuriais savo tikslams gali naudotis mokytojai ir mokykla. Būtina pastebėti, kad ugdymo turinio branduolį, kuriam 9-10 klasėse skiriamas ypatingas valstybės dėmesys, išskiria visos nagrinėtos šalys. Beveik visos nagrinėtos šalys mokykloms dažniausiai tik rekomenduoja, kokius pasirenkamus kursus/modulius parengti ir siūlyti mokiniams rinktis. Ypač stiprioms ir savarankiškoms mokykloms dažniausiai suteikiama dar didesnė laisvė – organizuoti ugdymą pagal savo mokyklos bendruomenės poreikius ir galimybes. Tokių mokyklų sukaupta patirtis vėliau dažniausiai yra ekspertų giliau analizuojama ir skleidžiama kitoms mokykloms.</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 xml:space="preserve">Atsižvelgiant į užsienio šalių ir Lietuvos bendrojo ugdymo mokyklų patirtį, siūloma 9-10 klasių </w:t>
      </w:r>
      <w:proofErr w:type="spellStart"/>
      <w:r w:rsidRPr="009942CE">
        <w:rPr>
          <w:rFonts w:ascii="Times New Roman" w:eastAsia="Calibri" w:hAnsi="Times New Roman" w:cs="Times New Roman"/>
          <w:sz w:val="24"/>
          <w:szCs w:val="24"/>
        </w:rPr>
        <w:t>koncentre</w:t>
      </w:r>
      <w:proofErr w:type="spellEnd"/>
      <w:r w:rsidRPr="009942CE">
        <w:rPr>
          <w:rFonts w:ascii="Times New Roman" w:eastAsia="Calibri" w:hAnsi="Times New Roman" w:cs="Times New Roman"/>
          <w:sz w:val="24"/>
          <w:szCs w:val="24"/>
        </w:rPr>
        <w:t xml:space="preserve"> mokinių pasirinkimo galimybių pernelyg neišplėsti ta prasme, kad laisvas mokinių pasirinkimas neturėtų viršyti 10-15% pamokų laiko. Dauguma nagrinėtų užsienio šalių švietimo sistemų šios ribos neviršija. Greta laisvai pasirinkimų pamokų dar maždaug 10-15% galėtų sudaryti pamokų laikas, skiriamas privalomai pasirenkamiems kursams ar moduliams. Svarbiausias argumentas, dėl kurio dauguma minėtų šalių specialistų ir visuomenės atstovų pasisako prieš dideles mokinių pasirinkimo galimybes ir ankstyvą, dar nebaigus pagrindinės mokyklos, </w:t>
      </w:r>
      <w:r w:rsidRPr="009942CE">
        <w:rPr>
          <w:rFonts w:ascii="Times New Roman" w:eastAsia="Calibri" w:hAnsi="Times New Roman" w:cs="Times New Roman"/>
          <w:sz w:val="24"/>
          <w:szCs w:val="24"/>
        </w:rPr>
        <w:lastRenderedPageBreak/>
        <w:t>profiliavimą – ankstyvas didelis pasirinkimas kelia siauros specializacijos ir netgi selekcijos pavojų, gali užkirsti kelią lygių galimybių principo švietime įgyvendinimui. Šiuo požiūriu įdomi Suomijos patirtis. Prieš dešimtmetį Suomijoje pasirinkimo galimybės buvo labai plačios – bendrojo ugdymo mokyklų 8-9 klasių mokiniai galėdavo rinktis iki 20-25% pamokų, bet dabar šis skaičius sumažintas iki 15%. Viena iš  pasirinkimo ribojimo priežasčių – lygių galimybių užtikrinimas, tačiau reikia atsižvelgti ir į kitas priežastis, susijusias su mokyklos ir mokytojo lygmens problemomis ir ugdymo kokybe, kurią būtina užtikrinti, taip pat problemas, kylančias dėl mokinių jauno amžiaus ir nesusiformavusių gebėjimų savarankiškai mokytis, tikslingai pasirinkti, apsispręsti, nuosekliai laikytis tikslo, nekeisti savo pasirinkimo ir kt.</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Užsienio šalių patirtis rodo, kad pačios geriausios savarankiškos mokyklos yra pajėgios sumažinti didesnės mokinių pasirinkimo laisvės keliamą riziką. Šioms mokykloms paprastai leidžiama pačioms nuspręsti, kokią pasirinkimo laisvę suteikti savo mokiniams, nepažeidžiant tik bendriausių valstybės reikalavimų. Tokių mokyklų pavyzdžių galima rasti daugumoje nagrinėtų švietimo sistemų, pavyzdžiui, Anglijoje, Suomijoje, Singapūre. Dažniausiai siūloma palikti laisvai pasirenkamuosius kursus ir modulius mokyklos nuožiūrai. Nacionalinio lygmens pareiga – užtikrinti, kad kiekvienoje mokykloje būtų pakankamai platus privalomai pasirenkamųjų kursų/modulių, kurie įtvirtintų ir pagilintų mokinių tradicinių mokomųjų dalykų mokymosi pasiekimus, pasirinkimas. Daugumoje nagrinėtų švietimo sistemų valstybė laisvai pasirenkamų kursų/modulių turinio ir įvairovės nereglamentuoja, bet dažniausiai mokykloms rekomenduoja savo mokiniams siūlyti pasirenkamuosius kursus ar modulius, pagilinančius ir išplečiančius įprastą (dažniausiai akademinį) ugdymo turinį bei pratinančius mokinius tikslingai rinktis tolesnio mokymosi kelią. Kaip įprasta, valstybė reikalauja, kad kiekvienoje mokykloje tokių kursų pasirinkimo galimybės mokiniams būtų pakankamai plačios. Geros savarankiškos mokyklos su šiuo uždaviniu susidoroja daug lengviau, nei silpnesnės, mažiau savarankiškos mokyklos. Joms, šiuo požiūriu, reikia mažiau nacionalinio lygmens pagalbos.</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 xml:space="preserve">Daugumoje nagrinėtų švietimo sistemų įteisintos specialios organizacinės priemonės, kad mokyklų savarankiškumas ir mokinių pasirinkimo laisvė nekeltų grėsmės švietimo kokybei. Jų esmė – orientavimasis į rezultatą – mokinių mokymosi pasiekimus, kompetencijas ir pasirengimą darbo pasauliui. Stengiamasi aiškiai apibrėžti, kokio rezultato siekiama, ir pagal tai vertinami atskirų mokinių pasiekimai ir mokyklų darbo kokybė. Minėtas priemones galima suskirstyti į dvi pagrindines grupes. </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lastRenderedPageBreak/>
        <w:t xml:space="preserve">Viena grupė, tai priemonės, padedančios administracijai ir mokytojams mokykloje užtikrinti ugdymo kokybę plačiąja prasme. Jos paremtos grįžtamojo ryšio apie ugdymo procesą ir ugdymo rezultatus teikimu ir kokybės gerinimu. Labai pajėgių, savarankiškų mokyklų atveju, valstybės ir savivaldybės lygmenų institucijoms nėra racionalu smulkmeniškai reglamentuoti, kokią kokybės užtikrinimo sistemą turi susikurti mokykla. Dažniausiai tai paliekama mokyklos nuožiūrai. Svarbu, kad ta sistema gerai veiktų specifinėmis konkrečios mokyklos sąlygomis. </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Kita grupė, tai galimų nesėkmių prevencijos priemonės, skirtos išsiaiškinti, nustatyti, kuriems mokiniams kyla mokymosi ir pasirinkimo problemų, padėti jiems teisingai rinktis mokymosi kelią ir įveikti mokymosi sunkumus. Gerų savarankiškų mokyklų atveju, valstybės ir savivaldybės lygmenų institucijos dažniausiai smulkmeniškai nereglamentuoja, kokios konkrečiai tai turi būti organizacinės priemonės ir kaip jos turi būti įgyvendinamos. Vietoje to, stengiamasi mokyklas informuoti ir konsultuoti apie švietimo tyrimų rezultatus ir kitose mokyklose atsirandančias inovacijas, padedama geriau įsivertinti savo mokyklos kokybės užtikrinimo priemonių efektyvumą.</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sz w:val="24"/>
          <w:szCs w:val="24"/>
        </w:rPr>
        <w:t>Lietuvos bendrojo ugdymo mokykloms taip pat siūloma palikti laisvę 9-10 klasėse savo nuožiūra plačiai taikyti modulinio mokymo elementus ar modulinį mokymą. Nagrinėtose švietimo sistemose daugumą būdingų požymių turintis, plataus masto modulinis mokymas nacionalinio lygmens iniciatyva taikomas palyginti retai. Tačiau, dauguma atvejų, mokykloms leidžiama jį taikyti savo nuožiūra. Dalis gerų savarankiškų mokyklų tuo pasinaudoja ir pasiekia puikių rezultatų. Kita dalis gerų mokyklų paprastai apsiriboja tik dalykų kursų suskirstymu į mažesnius ugdymo turinio vienetus ir mokinių mokymosi pasiekimų aiškių kriterijų šiems ugdymo turinio vienetams parengimu pagal pasiekimų lygius. Reikia pabrėžti, kad atskirus, mokyklos bendruomenės poreikius atitinkančius ugdymo organizavimo moduliais elementus, aptariamos amžiaus grupės mokiniams, taiko didžioji dauguma gerų savarankiškų mokyklų visose nagrinėtose šalyse.</w:t>
      </w:r>
    </w:p>
    <w:p w:rsidR="009942CE" w:rsidRPr="009942CE" w:rsidRDefault="009942CE" w:rsidP="009942CE">
      <w:pPr>
        <w:spacing w:line="360" w:lineRule="auto"/>
        <w:ind w:firstLine="567"/>
        <w:jc w:val="both"/>
        <w:rPr>
          <w:rFonts w:ascii="Times New Roman" w:eastAsia="Calibri" w:hAnsi="Times New Roman" w:cs="Times New Roman"/>
          <w:sz w:val="24"/>
          <w:szCs w:val="24"/>
        </w:rPr>
      </w:pPr>
      <w:r w:rsidRPr="009942CE">
        <w:rPr>
          <w:rFonts w:ascii="Times New Roman" w:eastAsia="Calibri" w:hAnsi="Times New Roman" w:cs="Times New Roman"/>
          <w:b/>
          <w:i/>
          <w:sz w:val="24"/>
          <w:szCs w:val="24"/>
        </w:rPr>
        <w:t>Nuotolinio mokymosi elementai – dalis ugdymo turinio perkelta į virtualią erdvę.</w:t>
      </w:r>
      <w:r w:rsidRPr="009942CE">
        <w:rPr>
          <w:rFonts w:ascii="Times New Roman" w:eastAsia="Calibri" w:hAnsi="Times New Roman" w:cs="Times New Roman"/>
          <w:b/>
          <w:sz w:val="24"/>
          <w:szCs w:val="24"/>
        </w:rPr>
        <w:t xml:space="preserve"> </w:t>
      </w:r>
      <w:r w:rsidRPr="009942CE">
        <w:rPr>
          <w:rFonts w:ascii="Times New Roman" w:eastAsia="Calibri" w:hAnsi="Times New Roman" w:cs="Times New Roman"/>
          <w:sz w:val="24"/>
          <w:szCs w:val="24"/>
        </w:rPr>
        <w:t>Lietuvoje siūloma skatinti savarankiškas mokyklas pagal jų turimas galimybes plėsti ir perkelti savo mokinių mokymosi aplinką į virtualią erdvę. Daugumoje nagrinėtų šalių geros savarankiškos mokyklos ugdymo procesui praturtinti naudoja mokymo medžiagą, pritaikytą mokymuisi virtualioje erdvėje, taiko nuotolinio mokymosi elementus, sumaniai panaudoja (ir mokinių informavimui, ir vertinimo duomenų apdorojimui) daug galimybių teikiančius elektroninius dienynus. Užsienio šalyse mokyklos plačiai naudojasi ir komercinių firmų virtualioje erdvėje teikiamu ugdymo turiniu, kuriam perteikti dažniausiai naudojami ugdymo organizavimo moduliais elementai.</w:t>
      </w:r>
    </w:p>
    <w:p w:rsidR="009942CE" w:rsidRDefault="009942CE" w:rsidP="009942CE">
      <w:pPr>
        <w:spacing w:line="360" w:lineRule="auto"/>
        <w:ind w:firstLine="567"/>
        <w:jc w:val="both"/>
        <w:rPr>
          <w:rFonts w:ascii="Times New Roman" w:eastAsia="Calibri" w:hAnsi="Times New Roman" w:cs="Times New Roman"/>
          <w:color w:val="000000"/>
          <w:sz w:val="24"/>
          <w:szCs w:val="24"/>
        </w:rPr>
      </w:pPr>
      <w:r w:rsidRPr="009942CE">
        <w:rPr>
          <w:rFonts w:ascii="Times New Roman" w:eastAsia="Calibri" w:hAnsi="Times New Roman" w:cs="Times New Roman"/>
          <w:sz w:val="24"/>
          <w:szCs w:val="24"/>
        </w:rPr>
        <w:lastRenderedPageBreak/>
        <w:t xml:space="preserve">Šiame dokumente pristatoma II-oji alternatyva struktūruotai aprašyta žemiau pateikiamoje </w:t>
      </w:r>
      <w:r w:rsidRPr="009942CE">
        <w:rPr>
          <w:rFonts w:ascii="Times New Roman" w:eastAsia="Calibri" w:hAnsi="Times New Roman" w:cs="Times New Roman"/>
          <w:i/>
          <w:sz w:val="24"/>
          <w:szCs w:val="24"/>
        </w:rPr>
        <w:t>1 lentelėje</w:t>
      </w:r>
      <w:r w:rsidRPr="009942CE">
        <w:rPr>
          <w:rFonts w:ascii="Times New Roman" w:eastAsia="Calibri" w:hAnsi="Times New Roman" w:cs="Times New Roman"/>
          <w:sz w:val="24"/>
          <w:szCs w:val="24"/>
        </w:rPr>
        <w:t xml:space="preserve">. Joje apžvelgtas mokyklos ir nacionalinio lygmens atsakomybių ir įgaliojimų pasidalijimas pagal veiklos sritis. Pagal šią alternatyvą, nacionalinis lygmuo pasitiki mokykla ir suteikia jai daug veikimo laisvės. </w:t>
      </w:r>
      <w:r w:rsidRPr="009942CE">
        <w:rPr>
          <w:rFonts w:ascii="Times New Roman" w:eastAsia="Calibri" w:hAnsi="Times New Roman" w:cs="Times New Roman"/>
          <w:color w:val="000000"/>
          <w:sz w:val="24"/>
          <w:szCs w:val="24"/>
        </w:rPr>
        <w:t xml:space="preserve">Ugdymo kokybė mokykloje užtikrinama remiantis mokykloje susikurta ar savo bendruomenės reikmėms prisitaikyta kokybės užtikrinimo sistema. Mokykla pati susikuria mokyklos lygmens ugdymo turinį arba atsirenka ir prisitaiko tuos ugdymo turinio elementus (kursus, modulius, metodikas, mokymo priemones), kurių reikia mokiniams ir mokytojams. Nacionalinis lygmuo, remdamasis tyrimais ir specialistų rekomendacijomis, savarankiškoms mokykloms tik minimaliai reglamentuoja (daugiau orientuodamasis į rekomendacijas) mokinių ugdymo turinio rinkimosi galimybes, pasiekimų </w:t>
      </w:r>
      <w:proofErr w:type="spellStart"/>
      <w:r w:rsidRPr="009942CE">
        <w:rPr>
          <w:rFonts w:ascii="Times New Roman" w:eastAsia="Calibri" w:hAnsi="Times New Roman" w:cs="Times New Roman"/>
          <w:color w:val="000000"/>
          <w:sz w:val="24"/>
          <w:szCs w:val="24"/>
        </w:rPr>
        <w:t>stebėseną</w:t>
      </w:r>
      <w:proofErr w:type="spellEnd"/>
      <w:r w:rsidRPr="009942CE">
        <w:rPr>
          <w:rFonts w:ascii="Times New Roman" w:eastAsia="Calibri" w:hAnsi="Times New Roman" w:cs="Times New Roman"/>
          <w:color w:val="000000"/>
          <w:sz w:val="24"/>
          <w:szCs w:val="24"/>
        </w:rPr>
        <w:t>, mokinių konsultavimą ir mokymosi pagalbos mokiniams teikimą, parengia ugdymo organizavimo moduliais metodines rekomendacijas. Mokyklai ugdymo organizavimo srityje paliekama kuo daugiau veikimo laisvės, centralizuotai rūpinamasi tik būtiniausiomis išorinėmis sąlygomis, kurios padeda geriau organizuoti ugdymą mokyklose.</w:t>
      </w: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pPr>
    </w:p>
    <w:p w:rsidR="005F6661" w:rsidRDefault="005F6661" w:rsidP="009942CE">
      <w:pPr>
        <w:spacing w:line="360" w:lineRule="auto"/>
        <w:ind w:firstLine="567"/>
        <w:jc w:val="both"/>
        <w:rPr>
          <w:rFonts w:ascii="Times New Roman" w:eastAsia="Calibri" w:hAnsi="Times New Roman" w:cs="Times New Roman"/>
          <w:color w:val="000000"/>
          <w:sz w:val="24"/>
          <w:szCs w:val="24"/>
        </w:rPr>
        <w:sectPr w:rsidR="005F6661">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pPr>
    </w:p>
    <w:p w:rsidR="005F6661" w:rsidRPr="005F6661" w:rsidRDefault="005F6661" w:rsidP="005F6661">
      <w:pPr>
        <w:spacing w:line="360" w:lineRule="auto"/>
        <w:rPr>
          <w:rFonts w:ascii="Times New Roman" w:eastAsia="Calibri" w:hAnsi="Times New Roman" w:cs="Times New Roman"/>
          <w:b/>
          <w:i/>
          <w:color w:val="000000"/>
          <w:sz w:val="24"/>
          <w:szCs w:val="24"/>
        </w:rPr>
      </w:pPr>
      <w:r w:rsidRPr="005F6661">
        <w:rPr>
          <w:rFonts w:ascii="Times New Roman" w:eastAsia="Calibri" w:hAnsi="Times New Roman" w:cs="Times New Roman"/>
          <w:b/>
          <w:i/>
          <w:color w:val="000000"/>
          <w:sz w:val="24"/>
          <w:szCs w:val="24"/>
        </w:rPr>
        <w:lastRenderedPageBreak/>
        <w:t>1 lentelė. II-</w:t>
      </w:r>
      <w:proofErr w:type="spellStart"/>
      <w:r w:rsidRPr="005F6661">
        <w:rPr>
          <w:rFonts w:ascii="Times New Roman" w:eastAsia="Calibri" w:hAnsi="Times New Roman" w:cs="Times New Roman"/>
          <w:b/>
          <w:i/>
          <w:color w:val="000000"/>
          <w:sz w:val="24"/>
          <w:szCs w:val="24"/>
        </w:rPr>
        <w:t>osios</w:t>
      </w:r>
      <w:proofErr w:type="spellEnd"/>
      <w:r w:rsidRPr="005F6661">
        <w:rPr>
          <w:rFonts w:ascii="Times New Roman" w:eastAsia="Calibri" w:hAnsi="Times New Roman" w:cs="Times New Roman"/>
          <w:b/>
          <w:i/>
          <w:color w:val="000000"/>
          <w:sz w:val="24"/>
          <w:szCs w:val="24"/>
        </w:rPr>
        <w:t xml:space="preserve"> alternatyvos struktūrinis aprašymas</w:t>
      </w:r>
    </w:p>
    <w:tbl>
      <w:tblPr>
        <w:tblStyle w:val="Lentelstinklelis"/>
        <w:tblW w:w="14709"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6629"/>
        <w:gridCol w:w="2268"/>
        <w:gridCol w:w="5812"/>
      </w:tblGrid>
      <w:tr w:rsidR="005F6661" w:rsidRPr="005F6661" w:rsidTr="00CF2872">
        <w:tc>
          <w:tcPr>
            <w:tcW w:w="6629" w:type="dxa"/>
            <w:shd w:val="clear" w:color="auto" w:fill="365F91" w:themeFill="accent1" w:themeFillShade="BF"/>
            <w:vAlign w:val="center"/>
          </w:tcPr>
          <w:p w:rsidR="005F6661" w:rsidRPr="005F6661" w:rsidRDefault="005F6661" w:rsidP="005F6661">
            <w:pPr>
              <w:jc w:val="center"/>
              <w:rPr>
                <w:rFonts w:ascii="Calibri" w:eastAsia="Calibri" w:hAnsi="Calibri" w:cs="Calibri"/>
                <w:color w:val="FFFFFF"/>
              </w:rPr>
            </w:pPr>
            <w:r w:rsidRPr="005F6661">
              <w:rPr>
                <w:rFonts w:ascii="Calibri" w:eastAsia="Calibri" w:hAnsi="Calibri" w:cs="Calibri"/>
                <w:color w:val="FFFFFF"/>
              </w:rPr>
              <w:t>Mokykla</w:t>
            </w:r>
          </w:p>
        </w:tc>
        <w:tc>
          <w:tcPr>
            <w:tcW w:w="2268" w:type="dxa"/>
            <w:shd w:val="clear" w:color="auto" w:fill="17365D" w:themeFill="text2" w:themeFillShade="BF"/>
            <w:vAlign w:val="center"/>
          </w:tcPr>
          <w:p w:rsidR="005F6661" w:rsidRPr="005F6661" w:rsidRDefault="005F6661" w:rsidP="005F6661">
            <w:pPr>
              <w:jc w:val="center"/>
              <w:rPr>
                <w:rFonts w:ascii="Calibri" w:eastAsia="Calibri" w:hAnsi="Calibri" w:cs="Calibri"/>
              </w:rPr>
            </w:pPr>
            <w:r w:rsidRPr="005F6661">
              <w:rPr>
                <w:rFonts w:ascii="Calibri" w:eastAsia="Calibri" w:hAnsi="Calibri" w:cs="Calibri"/>
              </w:rPr>
              <w:t>Veiklos sritys</w:t>
            </w:r>
          </w:p>
        </w:tc>
        <w:tc>
          <w:tcPr>
            <w:tcW w:w="5812" w:type="dxa"/>
            <w:shd w:val="clear" w:color="auto" w:fill="365F91" w:themeFill="accent1" w:themeFillShade="BF"/>
            <w:vAlign w:val="center"/>
          </w:tcPr>
          <w:p w:rsidR="005F6661" w:rsidRPr="005F6661" w:rsidRDefault="005F6661" w:rsidP="005F6661">
            <w:pPr>
              <w:jc w:val="center"/>
              <w:rPr>
                <w:rFonts w:ascii="Calibri" w:eastAsia="Calibri" w:hAnsi="Calibri" w:cs="Calibri"/>
                <w:color w:val="FFFFFF"/>
              </w:rPr>
            </w:pPr>
            <w:r w:rsidRPr="005F6661">
              <w:rPr>
                <w:rFonts w:ascii="Calibri" w:eastAsia="Calibri" w:hAnsi="Calibri" w:cs="Calibri"/>
                <w:color w:val="FFFFFF"/>
              </w:rPr>
              <w:t>Nacionalinis lygmuo</w:t>
            </w:r>
          </w:p>
        </w:tc>
      </w:tr>
      <w:tr w:rsidR="005F6661" w:rsidRPr="005F6661" w:rsidTr="00CF2872">
        <w:tc>
          <w:tcPr>
            <w:tcW w:w="6629"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Rūpinasi ugdymo kokybės užtikrinimu. Susikuria savo bendruomenės </w:t>
            </w:r>
            <w:proofErr w:type="gramStart"/>
            <w:r w:rsidRPr="005F6661">
              <w:rPr>
                <w:rFonts w:ascii="Times New Roman" w:eastAsia="Calibri" w:hAnsi="Times New Roman" w:cs="Times New Roman"/>
                <w:color w:val="000000"/>
                <w:sz w:val="24"/>
                <w:szCs w:val="24"/>
              </w:rPr>
              <w:t>poreikiams</w:t>
            </w:r>
            <w:proofErr w:type="gramEnd"/>
            <w:r w:rsidRPr="005F6661">
              <w:rPr>
                <w:rFonts w:ascii="Times New Roman" w:eastAsia="Calibri" w:hAnsi="Times New Roman" w:cs="Times New Roman"/>
                <w:color w:val="000000"/>
                <w:sz w:val="24"/>
                <w:szCs w:val="24"/>
              </w:rPr>
              <w:t xml:space="preserve"> pritaikytą gerai veikiančią kokybės užtikrinimo sistemą. </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Į kokybės sprendimų priėmimą įtraukia mokyklos bendruomenės narius.</w:t>
            </w:r>
          </w:p>
        </w:tc>
        <w:tc>
          <w:tcPr>
            <w:tcW w:w="2268" w:type="dxa"/>
            <w:shd w:val="clear" w:color="auto" w:fill="DBE5F1" w:themeFill="accent1" w:themeFillTint="33"/>
            <w:vAlign w:val="center"/>
          </w:tcPr>
          <w:p w:rsidR="005F6661" w:rsidRPr="005F6661" w:rsidRDefault="005F6661" w:rsidP="005F6661">
            <w:pPr>
              <w:spacing w:line="360" w:lineRule="auto"/>
              <w:jc w:val="center"/>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Ugdymo kokybės mokykloje užtikrinimas </w:t>
            </w:r>
          </w:p>
        </w:tc>
        <w:tc>
          <w:tcPr>
            <w:tcW w:w="5812"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Teikia pagalbą ir rekomendacijas mokykloms. </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Audito tikslu tampa kokybės užtikrinimo mokykloje sistemos gerinimas. </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Mokykloms siūlo standartizuotus mokinių pasiekimų vertinimo ir įsivertinimo įrankius.</w:t>
            </w:r>
          </w:p>
        </w:tc>
      </w:tr>
      <w:tr w:rsidR="005F6661" w:rsidRPr="005F6661" w:rsidTr="00CF2872">
        <w:tc>
          <w:tcPr>
            <w:tcW w:w="6629"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Savo mokinių poreikiams prisitaiko nacionaliniu lygmeniu parengtas programas ir mokymo metodikas.</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Aktyviai kuria pasirenkamąjį ugdymo turinį (UT), atitinkantį specifinius mokyklos bendruomenės poreikius ir apimantį rengimą karjerai.</w:t>
            </w:r>
          </w:p>
        </w:tc>
        <w:tc>
          <w:tcPr>
            <w:tcW w:w="2268" w:type="dxa"/>
            <w:shd w:val="clear" w:color="auto" w:fill="DBE5F1" w:themeFill="accent1" w:themeFillTint="33"/>
            <w:vAlign w:val="center"/>
          </w:tcPr>
          <w:p w:rsidR="005F6661" w:rsidRPr="005F6661" w:rsidRDefault="005F6661" w:rsidP="005F6661">
            <w:pPr>
              <w:spacing w:line="360" w:lineRule="auto"/>
              <w:jc w:val="center"/>
              <w:rPr>
                <w:rFonts w:ascii="Times New Roman" w:eastAsia="Calibri" w:hAnsi="Times New Roman" w:cs="Times New Roman"/>
                <w:sz w:val="24"/>
                <w:szCs w:val="24"/>
              </w:rPr>
            </w:pPr>
            <w:r w:rsidRPr="005F6661">
              <w:rPr>
                <w:rFonts w:ascii="Times New Roman" w:eastAsia="Calibri" w:hAnsi="Times New Roman" w:cs="Times New Roman"/>
                <w:sz w:val="24"/>
                <w:szCs w:val="24"/>
              </w:rPr>
              <w:t>Mokyklos ugdymo turinys (UT)</w:t>
            </w:r>
          </w:p>
        </w:tc>
        <w:tc>
          <w:tcPr>
            <w:tcW w:w="5812"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Parengia nacionalinius kokybės prioritetus atitinkantį UT branduolį ir privalomai pasirenkamąjį UT (programas, metodikas), kurį mokyklos gali prisitaikyti. Skleidžia gerąją patirtį.</w:t>
            </w:r>
          </w:p>
        </w:tc>
      </w:tr>
      <w:tr w:rsidR="005F6661" w:rsidRPr="005F6661" w:rsidTr="00CF2872">
        <w:tc>
          <w:tcPr>
            <w:tcW w:w="6629"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Ugdymo kokybei užtikrinti susikuria savo mokyklos bendruomenės poreikius atitinkančią ugdymo organizavimo sistemą.</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Leidžia mokiniams rinktis UT ir teikia jiems sistemingą pagalbą.</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Susikuria pasiekimų vertinimo kriterijų ir procedūrų sistemą, kuri padeda vykdyti mokymosi </w:t>
            </w:r>
            <w:proofErr w:type="spellStart"/>
            <w:r w:rsidRPr="005F6661">
              <w:rPr>
                <w:rFonts w:ascii="Times New Roman" w:eastAsia="Calibri" w:hAnsi="Times New Roman" w:cs="Times New Roman"/>
                <w:color w:val="000000"/>
                <w:sz w:val="24"/>
                <w:szCs w:val="24"/>
              </w:rPr>
              <w:t>stebėseną</w:t>
            </w:r>
            <w:proofErr w:type="spellEnd"/>
            <w:r w:rsidRPr="005F6661">
              <w:rPr>
                <w:rFonts w:ascii="Times New Roman" w:eastAsia="Calibri" w:hAnsi="Times New Roman" w:cs="Times New Roman"/>
                <w:color w:val="000000"/>
                <w:sz w:val="24"/>
                <w:szCs w:val="24"/>
              </w:rPr>
              <w:t>.</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Susikuria mokyklos bendruomenės poreikius atitinkančią mokinių pasiekimų vertinimo sistemą.</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Apsisprendžia dėl modulinio ir virtualaus mokymo elementų </w:t>
            </w:r>
            <w:r w:rsidRPr="005F6661">
              <w:rPr>
                <w:rFonts w:ascii="Times New Roman" w:eastAsia="Calibri" w:hAnsi="Times New Roman" w:cs="Times New Roman"/>
                <w:color w:val="000000"/>
                <w:sz w:val="24"/>
                <w:szCs w:val="24"/>
              </w:rPr>
              <w:lastRenderedPageBreak/>
              <w:t xml:space="preserve">įgyvendinimo. </w:t>
            </w:r>
          </w:p>
        </w:tc>
        <w:tc>
          <w:tcPr>
            <w:tcW w:w="2268" w:type="dxa"/>
            <w:shd w:val="clear" w:color="auto" w:fill="DBE5F1" w:themeFill="accent1" w:themeFillTint="33"/>
            <w:vAlign w:val="center"/>
          </w:tcPr>
          <w:p w:rsidR="005F6661" w:rsidRPr="005F6661" w:rsidRDefault="005F6661" w:rsidP="005F6661">
            <w:pPr>
              <w:spacing w:line="360" w:lineRule="auto"/>
              <w:jc w:val="center"/>
              <w:rPr>
                <w:rFonts w:ascii="Times New Roman" w:eastAsia="Calibri" w:hAnsi="Times New Roman" w:cs="Times New Roman"/>
                <w:sz w:val="24"/>
                <w:szCs w:val="24"/>
              </w:rPr>
            </w:pPr>
            <w:r w:rsidRPr="005F6661">
              <w:rPr>
                <w:rFonts w:ascii="Times New Roman" w:eastAsia="Calibri" w:hAnsi="Times New Roman" w:cs="Times New Roman"/>
                <w:sz w:val="24"/>
                <w:szCs w:val="24"/>
              </w:rPr>
              <w:lastRenderedPageBreak/>
              <w:t>Ugdymo proceso struktūravimas ir organizavimas</w:t>
            </w:r>
          </w:p>
        </w:tc>
        <w:tc>
          <w:tcPr>
            <w:tcW w:w="5812"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Nurodo reikalavimus UT branduolio ir privalomai pasirenkamo UT perteikimui.</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Pereina prie trumpų, mokyklai laisvę suteikiančių bendrųjų ugdymo planų ir juos papildančių metodinių rekomendacijų.</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Sukuria nacionalinę mokinių pasiekimų vertinimo kriterijų sistemą ir vertinimo metodines rekomendacijas mokykloms.</w:t>
            </w:r>
          </w:p>
        </w:tc>
      </w:tr>
      <w:tr w:rsidR="005F6661" w:rsidRPr="005F6661" w:rsidTr="00CF2872">
        <w:tc>
          <w:tcPr>
            <w:tcW w:w="6629"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proofErr w:type="spellStart"/>
            <w:r w:rsidRPr="005F6661">
              <w:rPr>
                <w:rFonts w:ascii="Times New Roman" w:eastAsia="Calibri" w:hAnsi="Times New Roman" w:cs="Times New Roman"/>
                <w:color w:val="000000"/>
                <w:sz w:val="24"/>
                <w:szCs w:val="24"/>
              </w:rPr>
              <w:lastRenderedPageBreak/>
              <w:t>Sistemiškai</w:t>
            </w:r>
            <w:proofErr w:type="spellEnd"/>
            <w:r w:rsidRPr="005F6661">
              <w:rPr>
                <w:rFonts w:ascii="Times New Roman" w:eastAsia="Calibri" w:hAnsi="Times New Roman" w:cs="Times New Roman"/>
                <w:color w:val="000000"/>
                <w:sz w:val="24"/>
                <w:szCs w:val="24"/>
              </w:rPr>
              <w:t xml:space="preserve"> įgyvendina organizacines priemones mokyklos klimatui gerinti ir efektyvesniam įrangos ir kabinetų panaudojimui, kad mokiniai galėtų rinktis UT.</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Ugdymo organizavimui gerinti tikslingai naudoja IKT priemones (elektroninį dienyną, virtualią mokymosi aplinką ir kt.).</w:t>
            </w:r>
          </w:p>
        </w:tc>
        <w:tc>
          <w:tcPr>
            <w:tcW w:w="2268" w:type="dxa"/>
            <w:shd w:val="clear" w:color="auto" w:fill="DBE5F1" w:themeFill="accent1" w:themeFillTint="33"/>
            <w:vAlign w:val="center"/>
          </w:tcPr>
          <w:p w:rsidR="005F6661" w:rsidRPr="005F6661" w:rsidRDefault="005F6661" w:rsidP="005F6661">
            <w:pPr>
              <w:spacing w:line="360" w:lineRule="auto"/>
              <w:jc w:val="center"/>
              <w:rPr>
                <w:rFonts w:ascii="Times New Roman" w:eastAsia="Calibri" w:hAnsi="Times New Roman" w:cs="Times New Roman"/>
                <w:sz w:val="24"/>
                <w:szCs w:val="24"/>
              </w:rPr>
            </w:pPr>
            <w:r w:rsidRPr="005F6661">
              <w:rPr>
                <w:rFonts w:ascii="Times New Roman" w:eastAsia="Calibri" w:hAnsi="Times New Roman" w:cs="Times New Roman"/>
                <w:sz w:val="24"/>
                <w:szCs w:val="24"/>
              </w:rPr>
              <w:t>Mokymosi aplinka</w:t>
            </w:r>
          </w:p>
        </w:tc>
        <w:tc>
          <w:tcPr>
            <w:tcW w:w="5812"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 xml:space="preserve">Teikia rekomendacijas, kaip gerinti mokymosi aplinką mokykloje, ir skleidžia mokyklų gerąją patirtį. </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Stebi ir skatina elektroninių dienynų tobulinimą bei teikiamų galimybių panaudojimą.</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IKT pagrindu kuria mokymosi pagalbos priemones mokiniams, turintiems specialiųjų ugdymosi poreikių.</w:t>
            </w:r>
          </w:p>
        </w:tc>
      </w:tr>
      <w:tr w:rsidR="005F6661" w:rsidRPr="005F6661" w:rsidTr="00CF2872">
        <w:tc>
          <w:tcPr>
            <w:tcW w:w="6629"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Rūpinasi ugdymo kokybę skatinančia mokyklos kultūra.</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Maksimaliai panaudoja esamas darbo apmokėjimo, mokyklos finansines ir kitas galimybes.</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Išradingai naudojasi valstybės lygmeniu sukurtomis programomis (taip pat modulinėmis), mokymo ir metodinėmis priemonėmis.</w:t>
            </w:r>
          </w:p>
        </w:tc>
        <w:tc>
          <w:tcPr>
            <w:tcW w:w="2268" w:type="dxa"/>
            <w:shd w:val="clear" w:color="auto" w:fill="365F91" w:themeFill="accent1" w:themeFillShade="BF"/>
            <w:vAlign w:val="center"/>
          </w:tcPr>
          <w:p w:rsidR="005F6661" w:rsidRPr="005F6661" w:rsidRDefault="005F6661" w:rsidP="005F6661">
            <w:pPr>
              <w:spacing w:line="360" w:lineRule="auto"/>
              <w:jc w:val="center"/>
              <w:rPr>
                <w:rFonts w:ascii="Times New Roman" w:eastAsia="Calibri" w:hAnsi="Times New Roman" w:cs="Times New Roman"/>
                <w:color w:val="FFFFFF"/>
                <w:sz w:val="24"/>
                <w:szCs w:val="24"/>
              </w:rPr>
            </w:pPr>
            <w:r w:rsidRPr="005F6661">
              <w:rPr>
                <w:rFonts w:ascii="Times New Roman" w:eastAsia="Calibri" w:hAnsi="Times New Roman" w:cs="Times New Roman"/>
                <w:color w:val="FFFFFF"/>
                <w:sz w:val="24"/>
                <w:szCs w:val="24"/>
              </w:rPr>
              <w:t>Būtinos vidinės ir išorinės sąlygos</w:t>
            </w:r>
          </w:p>
        </w:tc>
        <w:tc>
          <w:tcPr>
            <w:tcW w:w="5812" w:type="dxa"/>
          </w:tcPr>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Įteisina darbo apmokėjimo tvarką, motyvuojančią mokytojus diegti inovacijas ir ugdymo organizavimo naujoves.</w:t>
            </w:r>
          </w:p>
          <w:p w:rsidR="005F6661" w:rsidRPr="005F6661" w:rsidRDefault="005F6661" w:rsidP="005F6661">
            <w:pPr>
              <w:numPr>
                <w:ilvl w:val="1"/>
                <w:numId w:val="1"/>
              </w:numPr>
              <w:tabs>
                <w:tab w:val="num" w:pos="284"/>
              </w:tabs>
              <w:spacing w:line="360" w:lineRule="auto"/>
              <w:ind w:left="284" w:hanging="284"/>
              <w:rPr>
                <w:rFonts w:ascii="Times New Roman" w:eastAsia="Calibri" w:hAnsi="Times New Roman" w:cs="Times New Roman"/>
                <w:color w:val="000000"/>
                <w:sz w:val="24"/>
                <w:szCs w:val="24"/>
              </w:rPr>
            </w:pPr>
            <w:r w:rsidRPr="005F6661">
              <w:rPr>
                <w:rFonts w:ascii="Times New Roman" w:eastAsia="Calibri" w:hAnsi="Times New Roman" w:cs="Times New Roman"/>
                <w:color w:val="000000"/>
                <w:sz w:val="24"/>
                <w:szCs w:val="24"/>
              </w:rPr>
              <w:t>Vykdo ugdymo kokybės gerinimui palankią vadovėlių/</w:t>
            </w:r>
            <w:proofErr w:type="spellStart"/>
            <w:r w:rsidRPr="005F6661">
              <w:rPr>
                <w:rFonts w:ascii="Times New Roman" w:eastAsia="Calibri" w:hAnsi="Times New Roman" w:cs="Times New Roman"/>
                <w:color w:val="000000"/>
                <w:sz w:val="24"/>
                <w:szCs w:val="24"/>
              </w:rPr>
              <w:t>mokymo(si</w:t>
            </w:r>
            <w:proofErr w:type="spellEnd"/>
            <w:r w:rsidRPr="005F6661">
              <w:rPr>
                <w:rFonts w:ascii="Times New Roman" w:eastAsia="Calibri" w:hAnsi="Times New Roman" w:cs="Times New Roman"/>
                <w:color w:val="000000"/>
                <w:sz w:val="24"/>
                <w:szCs w:val="24"/>
              </w:rPr>
              <w:t>) priemonių (taip pat ir skaitmeninių) politiką.</w:t>
            </w:r>
          </w:p>
        </w:tc>
      </w:tr>
    </w:tbl>
    <w:p w:rsidR="005F6661" w:rsidRPr="005F6661" w:rsidRDefault="005F6661" w:rsidP="005F6661">
      <w:pPr>
        <w:spacing w:line="360" w:lineRule="auto"/>
        <w:rPr>
          <w:rFonts w:ascii="Times New Roman" w:eastAsia="Calibri" w:hAnsi="Times New Roman" w:cs="Times New Roman"/>
          <w:sz w:val="24"/>
          <w:szCs w:val="24"/>
        </w:rPr>
      </w:pPr>
    </w:p>
    <w:p w:rsidR="009942CE" w:rsidRDefault="009942CE" w:rsidP="009942CE">
      <w:pPr>
        <w:spacing w:line="360" w:lineRule="auto"/>
        <w:ind w:firstLine="567"/>
        <w:jc w:val="both"/>
        <w:rPr>
          <w:rFonts w:ascii="Times New Roman" w:eastAsia="Calibri" w:hAnsi="Times New Roman" w:cs="Times New Roman"/>
          <w:color w:val="000000"/>
          <w:sz w:val="24"/>
          <w:szCs w:val="24"/>
        </w:rPr>
      </w:pPr>
    </w:p>
    <w:p w:rsidR="009942CE" w:rsidRDefault="009942CE" w:rsidP="009942CE">
      <w:pPr>
        <w:spacing w:line="360" w:lineRule="auto"/>
        <w:ind w:firstLine="567"/>
        <w:jc w:val="both"/>
        <w:rPr>
          <w:rFonts w:ascii="Times New Roman" w:eastAsia="Calibri" w:hAnsi="Times New Roman" w:cs="Times New Roman"/>
          <w:color w:val="000000"/>
          <w:sz w:val="24"/>
          <w:szCs w:val="24"/>
        </w:rPr>
      </w:pPr>
    </w:p>
    <w:p w:rsidR="009942CE" w:rsidRDefault="009942CE" w:rsidP="009942CE">
      <w:pPr>
        <w:spacing w:line="360" w:lineRule="auto"/>
        <w:ind w:firstLine="567"/>
        <w:jc w:val="both"/>
        <w:rPr>
          <w:rFonts w:ascii="Times New Roman" w:eastAsia="Calibri" w:hAnsi="Times New Roman" w:cs="Times New Roman"/>
          <w:color w:val="000000"/>
          <w:sz w:val="24"/>
          <w:szCs w:val="24"/>
        </w:rPr>
      </w:pPr>
    </w:p>
    <w:p w:rsidR="009942CE" w:rsidRDefault="009942CE" w:rsidP="009942CE">
      <w:pPr>
        <w:spacing w:line="360" w:lineRule="auto"/>
        <w:ind w:firstLine="567"/>
        <w:jc w:val="both"/>
      </w:pPr>
    </w:p>
    <w:sectPr w:rsidR="009942CE" w:rsidSect="005F66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1A" w:rsidRDefault="0025621A" w:rsidP="000545FA">
      <w:pPr>
        <w:spacing w:after="0" w:line="240" w:lineRule="auto"/>
      </w:pPr>
      <w:r>
        <w:separator/>
      </w:r>
    </w:p>
  </w:endnote>
  <w:endnote w:type="continuationSeparator" w:id="0">
    <w:p w:rsidR="0025621A" w:rsidRDefault="0025621A" w:rsidP="0005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A" w:rsidRDefault="000545F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A" w:rsidRDefault="000545F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A" w:rsidRDefault="000545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1A" w:rsidRDefault="0025621A" w:rsidP="000545FA">
      <w:pPr>
        <w:spacing w:after="0" w:line="240" w:lineRule="auto"/>
      </w:pPr>
      <w:r>
        <w:separator/>
      </w:r>
    </w:p>
  </w:footnote>
  <w:footnote w:type="continuationSeparator" w:id="0">
    <w:p w:rsidR="0025621A" w:rsidRDefault="0025621A" w:rsidP="0005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A" w:rsidRDefault="000545FA">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3741" o:spid="_x0000_s2050" type="#_x0000_t136" style="position:absolute;margin-left:0;margin-top:0;width:509.55pt;height:169.85pt;rotation:315;z-index:-251655168;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A" w:rsidRDefault="000545FA">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3742" o:spid="_x0000_s2051" type="#_x0000_t136" style="position:absolute;margin-left:0;margin-top:0;width:509.55pt;height:169.85pt;rotation:315;z-index:-251653120;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FA" w:rsidRDefault="000545FA">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3740" o:spid="_x0000_s2049" type="#_x0000_t136" style="position:absolute;margin-left:0;margin-top:0;width:509.55pt;height:169.85pt;rotation:315;z-index:-251657216;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1CC6"/>
    <w:multiLevelType w:val="hybridMultilevel"/>
    <w:tmpl w:val="FF609A7C"/>
    <w:lvl w:ilvl="0" w:tplc="05F4D9B6">
      <w:start w:val="1"/>
      <w:numFmt w:val="bullet"/>
      <w:lvlText w:val="•"/>
      <w:lvlJc w:val="left"/>
      <w:pPr>
        <w:tabs>
          <w:tab w:val="num" w:pos="720"/>
        </w:tabs>
        <w:ind w:left="720" w:hanging="360"/>
      </w:pPr>
      <w:rPr>
        <w:rFonts w:ascii="Times New Roman" w:hAnsi="Times New Roman" w:hint="default"/>
      </w:rPr>
    </w:lvl>
    <w:lvl w:ilvl="1" w:tplc="B720E76E">
      <w:start w:val="3146"/>
      <w:numFmt w:val="bullet"/>
      <w:lvlText w:val="•"/>
      <w:lvlJc w:val="left"/>
      <w:pPr>
        <w:tabs>
          <w:tab w:val="num" w:pos="1440"/>
        </w:tabs>
        <w:ind w:left="1440" w:hanging="360"/>
      </w:pPr>
      <w:rPr>
        <w:rFonts w:ascii="Times New Roman" w:hAnsi="Times New Roman" w:hint="default"/>
      </w:rPr>
    </w:lvl>
    <w:lvl w:ilvl="2" w:tplc="E398CB2A" w:tentative="1">
      <w:start w:val="1"/>
      <w:numFmt w:val="bullet"/>
      <w:lvlText w:val="•"/>
      <w:lvlJc w:val="left"/>
      <w:pPr>
        <w:tabs>
          <w:tab w:val="num" w:pos="2160"/>
        </w:tabs>
        <w:ind w:left="2160" w:hanging="360"/>
      </w:pPr>
      <w:rPr>
        <w:rFonts w:ascii="Times New Roman" w:hAnsi="Times New Roman" w:hint="default"/>
      </w:rPr>
    </w:lvl>
    <w:lvl w:ilvl="3" w:tplc="C67E4D5C" w:tentative="1">
      <w:start w:val="1"/>
      <w:numFmt w:val="bullet"/>
      <w:lvlText w:val="•"/>
      <w:lvlJc w:val="left"/>
      <w:pPr>
        <w:tabs>
          <w:tab w:val="num" w:pos="2880"/>
        </w:tabs>
        <w:ind w:left="2880" w:hanging="360"/>
      </w:pPr>
      <w:rPr>
        <w:rFonts w:ascii="Times New Roman" w:hAnsi="Times New Roman" w:hint="default"/>
      </w:rPr>
    </w:lvl>
    <w:lvl w:ilvl="4" w:tplc="1688CBA2" w:tentative="1">
      <w:start w:val="1"/>
      <w:numFmt w:val="bullet"/>
      <w:lvlText w:val="•"/>
      <w:lvlJc w:val="left"/>
      <w:pPr>
        <w:tabs>
          <w:tab w:val="num" w:pos="3600"/>
        </w:tabs>
        <w:ind w:left="3600" w:hanging="360"/>
      </w:pPr>
      <w:rPr>
        <w:rFonts w:ascii="Times New Roman" w:hAnsi="Times New Roman" w:hint="default"/>
      </w:rPr>
    </w:lvl>
    <w:lvl w:ilvl="5" w:tplc="B67A1242" w:tentative="1">
      <w:start w:val="1"/>
      <w:numFmt w:val="bullet"/>
      <w:lvlText w:val="•"/>
      <w:lvlJc w:val="left"/>
      <w:pPr>
        <w:tabs>
          <w:tab w:val="num" w:pos="4320"/>
        </w:tabs>
        <w:ind w:left="4320" w:hanging="360"/>
      </w:pPr>
      <w:rPr>
        <w:rFonts w:ascii="Times New Roman" w:hAnsi="Times New Roman" w:hint="default"/>
      </w:rPr>
    </w:lvl>
    <w:lvl w:ilvl="6" w:tplc="D80CE46E" w:tentative="1">
      <w:start w:val="1"/>
      <w:numFmt w:val="bullet"/>
      <w:lvlText w:val="•"/>
      <w:lvlJc w:val="left"/>
      <w:pPr>
        <w:tabs>
          <w:tab w:val="num" w:pos="5040"/>
        </w:tabs>
        <w:ind w:left="5040" w:hanging="360"/>
      </w:pPr>
      <w:rPr>
        <w:rFonts w:ascii="Times New Roman" w:hAnsi="Times New Roman" w:hint="default"/>
      </w:rPr>
    </w:lvl>
    <w:lvl w:ilvl="7" w:tplc="DEE8F3E6" w:tentative="1">
      <w:start w:val="1"/>
      <w:numFmt w:val="bullet"/>
      <w:lvlText w:val="•"/>
      <w:lvlJc w:val="left"/>
      <w:pPr>
        <w:tabs>
          <w:tab w:val="num" w:pos="5760"/>
        </w:tabs>
        <w:ind w:left="5760" w:hanging="360"/>
      </w:pPr>
      <w:rPr>
        <w:rFonts w:ascii="Times New Roman" w:hAnsi="Times New Roman" w:hint="default"/>
      </w:rPr>
    </w:lvl>
    <w:lvl w:ilvl="8" w:tplc="78445F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F7"/>
    <w:rsid w:val="000545FA"/>
    <w:rsid w:val="0025621A"/>
    <w:rsid w:val="00554A13"/>
    <w:rsid w:val="005F6661"/>
    <w:rsid w:val="009942CE"/>
    <w:rsid w:val="00BE00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F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545F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45FA"/>
  </w:style>
  <w:style w:type="paragraph" w:styleId="Porat">
    <w:name w:val="footer"/>
    <w:basedOn w:val="prastasis"/>
    <w:link w:val="PoratDiagrama"/>
    <w:uiPriority w:val="99"/>
    <w:unhideWhenUsed/>
    <w:rsid w:val="000545F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F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545F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45FA"/>
  </w:style>
  <w:style w:type="paragraph" w:styleId="Porat">
    <w:name w:val="footer"/>
    <w:basedOn w:val="prastasis"/>
    <w:link w:val="PoratDiagrama"/>
    <w:uiPriority w:val="99"/>
    <w:unhideWhenUsed/>
    <w:rsid w:val="000545F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9745</Words>
  <Characters>5555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4</cp:revision>
  <dcterms:created xsi:type="dcterms:W3CDTF">2013-09-03T11:22:00Z</dcterms:created>
  <dcterms:modified xsi:type="dcterms:W3CDTF">2013-09-04T08:40:00Z</dcterms:modified>
</cp:coreProperties>
</file>