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3C0" w:rsidRPr="009775D0" w:rsidRDefault="009623C0" w:rsidP="009623C0">
      <w:pPr>
        <w:rPr>
          <w:rFonts w:ascii="Times New Roman" w:hAnsi="Times New Roman" w:cs="Times New Roman"/>
          <w:b/>
          <w:sz w:val="24"/>
          <w:szCs w:val="24"/>
        </w:rPr>
      </w:pPr>
      <w:bookmarkStart w:id="0" w:name="_GoBack"/>
      <w:bookmarkEnd w:id="0"/>
      <w:r w:rsidRPr="009775D0">
        <w:rPr>
          <w:b/>
        </w:rPr>
        <w:t>I</w:t>
      </w:r>
      <w:r w:rsidRPr="009775D0">
        <w:rPr>
          <w:rFonts w:ascii="Times New Roman" w:hAnsi="Times New Roman" w:cs="Times New Roman"/>
          <w:b/>
          <w:sz w:val="24"/>
          <w:szCs w:val="24"/>
        </w:rPr>
        <w:t>-OSIOS ALTERNATYVOS PAGRINDIMAS IR APRAŠYMAS</w:t>
      </w:r>
    </w:p>
    <w:p w:rsidR="009623C0" w:rsidRPr="009775D0" w:rsidRDefault="009623C0" w:rsidP="009623C0">
      <w:pPr>
        <w:rPr>
          <w:rFonts w:ascii="Times New Roman" w:hAnsi="Times New Roman" w:cs="Times New Roman"/>
          <w:b/>
          <w:sz w:val="24"/>
          <w:szCs w:val="24"/>
        </w:rPr>
      </w:pP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b/>
          <w:sz w:val="24"/>
          <w:szCs w:val="24"/>
        </w:rPr>
        <w:t>I-oji ugdymo organizavimo moduliais alternatyva</w:t>
      </w:r>
      <w:r w:rsidRPr="009775D0">
        <w:rPr>
          <w:rFonts w:ascii="Times New Roman" w:hAnsi="Times New Roman" w:cs="Times New Roman"/>
          <w:sz w:val="24"/>
          <w:szCs w:val="24"/>
        </w:rPr>
        <w:t xml:space="preserve"> yra skirta </w:t>
      </w:r>
      <w:r w:rsidRPr="009775D0">
        <w:rPr>
          <w:rFonts w:ascii="Times New Roman" w:hAnsi="Times New Roman" w:cs="Times New Roman"/>
          <w:b/>
          <w:sz w:val="24"/>
          <w:szCs w:val="24"/>
        </w:rPr>
        <w:t>mažiau savarankiškoms</w:t>
      </w:r>
      <w:r w:rsidRPr="009775D0">
        <w:rPr>
          <w:rFonts w:ascii="Times New Roman" w:hAnsi="Times New Roman" w:cs="Times New Roman"/>
          <w:sz w:val="24"/>
          <w:szCs w:val="24"/>
        </w:rPr>
        <w:t xml:space="preserve"> (vidutinio ir silpno savarankiškumo) mokykloms, kurių savarankiškumo, organizuojant ugdymą, siekiai yra nuosaikūs, o /arba galimybės yra ribotos. Tokia situacija gali susidaryti ne tik dėl mokyklų santykio su savininko teises ir pareigas įgyvendinančia institucija, bet ir dėl įvairių kitų priežasčių, pavyzdžiui, dėl mokykloje susiklosčiusios vertybių sistemos ar dėl specifinio mokyklos vaidmens savivaldybės švietimo įstaigų tinkle. Gali būti, kad mokyklos galimybės organizuoti ugdymą savitai, nestandartiškai yra ribotos dėl nedidelių mokyklos išteklių (pvz., maža mokykla) arba stinga organizacinių gebėjimų (pvz., trūksta lankstaus ugdymo organizavimo patirties). Tokioms mokykloms ypač svarbi nacionalinio ir savivaldybės lygmens pagalba. Glaudus bendradarbiavimas su valstybės institucijomis įgalintų jas dirbti efektyviau, pasiekti geresnių ugdymo rezultatų. Kitaip tariant, ugdymo organizavimo moduliais I-oji alternatyva – tai </w:t>
      </w:r>
      <w:r w:rsidRPr="009775D0">
        <w:rPr>
          <w:rFonts w:ascii="Times New Roman" w:hAnsi="Times New Roman" w:cs="Times New Roman"/>
          <w:b/>
          <w:i/>
          <w:sz w:val="24"/>
          <w:szCs w:val="24"/>
        </w:rPr>
        <w:t>valstybinių institucijų ir mokyklos glaudžiu bendradarbiavimu grindžiamas ugdymo 9-10 klasėse organizavimas taikant ugdymo organizavimo moduliais elementus</w:t>
      </w:r>
      <w:r w:rsidRPr="009775D0">
        <w:rPr>
          <w:rFonts w:ascii="Times New Roman" w:hAnsi="Times New Roman" w:cs="Times New Roman"/>
          <w:sz w:val="24"/>
          <w:szCs w:val="24"/>
        </w:rPr>
        <w:t xml:space="preserve">. </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 xml:space="preserve">Šios alternatyvos įgyvendinimas padėtų </w:t>
      </w:r>
      <w:proofErr w:type="spellStart"/>
      <w:r w:rsidRPr="009775D0">
        <w:rPr>
          <w:rFonts w:ascii="Times New Roman" w:hAnsi="Times New Roman" w:cs="Times New Roman"/>
          <w:sz w:val="24"/>
          <w:szCs w:val="24"/>
        </w:rPr>
        <w:t>inovatyvioms</w:t>
      </w:r>
      <w:proofErr w:type="spellEnd"/>
      <w:r w:rsidRPr="009775D0">
        <w:rPr>
          <w:rFonts w:ascii="Times New Roman" w:hAnsi="Times New Roman" w:cs="Times New Roman"/>
          <w:sz w:val="24"/>
          <w:szCs w:val="24"/>
        </w:rPr>
        <w:t xml:space="preserve"> idėjoms greičiau pasiekti mokyklą ir išplėsti mokinių mokymosi krypties pasirinkimo galimybes, geriau pasirengti tolesniam mokymuisi ir planuoti būsimą karjerą.</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 xml:space="preserve">PROJEKTE dalyvaujančių mokyklų atstovų nuomone, ši alternatyva yra patraukli tuo, kad joje aiškus mokyklos ir nacionalinio lygmens institucijų ryšys, tikėtina veiksminga pagalba mokykloms dėl ugdymo organizavimo ir ugdymo kokybės gerinimo. Kadangi Lietuvos bendrojo lavinimo mokyklos nėra vienodos, jos dirba skirtingomis sąlygomis, ne visos yra pakankamai iniciatyvios ir savarankiškos, nacionalinio lygmens priemonės padrąsintų ir paskatintų jas drąsiau imtis atsakomybės ir siūlyti savo mokiniams jau kitų mokyklų išbandytas modulines programas ir kitas priemones, didinančias mokinių pasirinkimo galimybes. </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 xml:space="preserve">Nacionalinio lygmens sprendimai ir priemonės padėtų mokykloms tartis su savo bendruomenėmis, kurios kartais elgiasi labai konservatyviai ir vengia „eksperimentų“, pageidauja aiškumo ir nacionalinio lygmens palaikymo ir </w:t>
      </w:r>
      <w:proofErr w:type="spellStart"/>
      <w:r w:rsidRPr="009775D0">
        <w:rPr>
          <w:rFonts w:ascii="Times New Roman" w:hAnsi="Times New Roman" w:cs="Times New Roman"/>
          <w:sz w:val="24"/>
          <w:szCs w:val="24"/>
        </w:rPr>
        <w:t>stebėsenos</w:t>
      </w:r>
      <w:proofErr w:type="spellEnd"/>
      <w:r w:rsidRPr="009775D0">
        <w:rPr>
          <w:rFonts w:ascii="Times New Roman" w:hAnsi="Times New Roman" w:cs="Times New Roman"/>
          <w:sz w:val="24"/>
          <w:szCs w:val="24"/>
        </w:rPr>
        <w:t>. Mokyklos norėtų, kad nacionaliniame lygmenyje būtų inicijuojamas ugdymo programų pritaikymas labiau struktūruotam mokymui. Pačios jos stengtųsi kūrybiškai įgyvendinti nacionalinį „</w:t>
      </w:r>
      <w:proofErr w:type="spellStart"/>
      <w:r w:rsidRPr="009775D0">
        <w:rPr>
          <w:rFonts w:ascii="Times New Roman" w:hAnsi="Times New Roman" w:cs="Times New Roman"/>
          <w:sz w:val="24"/>
          <w:szCs w:val="24"/>
        </w:rPr>
        <w:t>moduliarizuotą</w:t>
      </w:r>
      <w:proofErr w:type="spellEnd"/>
      <w:r w:rsidRPr="009775D0">
        <w:rPr>
          <w:rFonts w:ascii="Times New Roman" w:hAnsi="Times New Roman" w:cs="Times New Roman"/>
          <w:sz w:val="24"/>
          <w:szCs w:val="24"/>
        </w:rPr>
        <w:t>“ ugdymo turinį ir orientuotųsi į valstybės nustatytas ugdymo kokybės gaires.</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 xml:space="preserve">Nacionalinis lygmuo pasirūpintų ne tik ugdymo turinio suskirstymu į modulius, bet ir svarbiausių mokymo ir mokymosi priemonių parengimu pagal nacionalines modulines bendrąsias programas, nustatytų mokykloms ugdymo organizavimo gaires, kurios skatintų mokyklas taikyti PROJEKTE išbandytus ir efektyvius ugdymo organizavimo būdus, mokykloms paliekant laisvės varijuoti ugdymo turinį. Nacionalinis ir savivaldybės lygmuo kontroliuotų mokinių pasiekimų apimtis ir kokybę, geriau besimokantiems mokiniams sudarytų galimybes rinktis jų </w:t>
      </w:r>
      <w:proofErr w:type="gramStart"/>
      <w:r w:rsidRPr="009775D0">
        <w:rPr>
          <w:rFonts w:ascii="Times New Roman" w:hAnsi="Times New Roman" w:cs="Times New Roman"/>
          <w:sz w:val="24"/>
          <w:szCs w:val="24"/>
        </w:rPr>
        <w:t>poreikius</w:t>
      </w:r>
      <w:proofErr w:type="gramEnd"/>
      <w:r w:rsidRPr="009775D0">
        <w:rPr>
          <w:rFonts w:ascii="Times New Roman" w:hAnsi="Times New Roman" w:cs="Times New Roman"/>
          <w:sz w:val="24"/>
          <w:szCs w:val="24"/>
        </w:rPr>
        <w:t xml:space="preserve"> ir galimybes geriau atliepiančią mokyklą, kurioje jie norėtų įgyti vidurinį išsilavinimą.</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lastRenderedPageBreak/>
        <w:t xml:space="preserve">Svarbus informacijos, kuria grindžiama I-oji alternatyva, šaltinis yra atliktos užsienio šalių ugdymo organizavimo moduliais patirties analizės įžvalgos ir jų pagrindu parengtos rekomendacijos ugdymo organizavimui gerinti (žr. 2 priedą). </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ab/>
        <w:t xml:space="preserve">Užsienio šalių ir Lietuvos mokyklų, dalyvaujančių projekte patirties analizė rodo, kad mokykloms reikia ne tik duoti daugiau laisvės, bet ir drąsinti jas, skatinti savarankiškumą, atsižvelgiant į ugdymo kokybės </w:t>
      </w:r>
      <w:proofErr w:type="gramStart"/>
      <w:r w:rsidRPr="009775D0">
        <w:rPr>
          <w:rFonts w:ascii="Times New Roman" w:hAnsi="Times New Roman" w:cs="Times New Roman"/>
          <w:sz w:val="24"/>
          <w:szCs w:val="24"/>
        </w:rPr>
        <w:t>poreikius</w:t>
      </w:r>
      <w:proofErr w:type="gramEnd"/>
      <w:r w:rsidRPr="009775D0">
        <w:rPr>
          <w:rFonts w:ascii="Times New Roman" w:hAnsi="Times New Roman" w:cs="Times New Roman"/>
          <w:sz w:val="24"/>
          <w:szCs w:val="24"/>
        </w:rPr>
        <w:t xml:space="preserve"> skirstyti pamokų laiką, integruoti dalykus tarpusavyje, rinktis ugdymo organizavimo formas ir siūlyti mokiniams pasirenkamuosius modulius ar kursus. </w:t>
      </w:r>
      <w:proofErr w:type="gramStart"/>
      <w:r w:rsidRPr="009775D0">
        <w:rPr>
          <w:rFonts w:ascii="Times New Roman" w:hAnsi="Times New Roman" w:cs="Times New Roman"/>
          <w:sz w:val="24"/>
          <w:szCs w:val="24"/>
        </w:rPr>
        <w:t>Daugumoje</w:t>
      </w:r>
      <w:proofErr w:type="gramEnd"/>
      <w:r w:rsidRPr="009775D0">
        <w:rPr>
          <w:rFonts w:ascii="Times New Roman" w:hAnsi="Times New Roman" w:cs="Times New Roman"/>
          <w:sz w:val="24"/>
          <w:szCs w:val="24"/>
        </w:rPr>
        <w:t xml:space="preserve"> nagrinėtų švietimo sistemų ryški tendencija nesikišti į mokyklos reikalus ir leisti jai organizuoti ugdymo procesą pagal mokinių poreikius. PROJEKTE dalyvaujančios mokyklos taip pat išreiškė pageidavimą turėti daugiau ugdymo organizavimo laisvės, tuo pačiu, ir didesnės metodinės ir kitokios paramos. Mažiau savarankiškoms mokykloms ir Lietuvoje, ir užsienio šalyse reikia papildomos pagalbos. Joms reikėtų sudaryti daugiau galimybių gauti patikimą grįžtamąjį ryšį apie mokinių mokymosi pasiekimus ir ugdymo kokybę mokykloje. </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ab/>
        <w:t xml:space="preserve">Nacionaliniu lygiu sustiprinus ugdymo kokybės užtikrinimo mechanizmus ir parengus pasiekimų standartų ir mokinių pasiekimų vertinimo įrankių sistemą, mokykla ir mokytojai galėtų pasitikrinti, ar jų mokiniai pasiekia planuojamus mokymosi pasiekimų lygius. Perėjimas prie labiau apibrėžtų, tyrimų duomenimis paremtų pasiekimų standartų taikymo užtruktų keletą metų, bet, išplėstų mokyklos galimybes įsivertinti savo darbo rezultatus. Net ir nesiekiančioms didelio savarankiškumo mokykloms atsirastų reali galimybė lanksčiau organizuoti ugdymą, taikyti geriausiai pasiteisinusius modulinio mokymo elementus ir sutaupyti nemažai mokymo ir mokymosi laiko. </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ab/>
        <w:t>Užsienio šalių patirtis rodo, kad daugiau galimybių atskirti valstybės ir mokyklos atsakomybės sritis teikia pertvarkytas nacionalinis ugdymo turinys, išskiriant iš jo ugdymo turinio branduolį ir valstybės remiamą pasirenkamąją ugdymo turinio dalį. Tokiu tikslu, į ugdymo turinio branduolį paprastai įtraukiami ne tik svarbiausi akademiniai dalykai, formuojantys asmens raštingumo pagrindus, bet ir bendrųjų gebėjimų ir kompetencijų ugdymui ir rengimuisi karjerai skirti kursai. Ekspertų grupė rekomenduoja tokį ugdymo turinio pertvarkymą atlikti ir Lietuvoje. Ypač svarbūs mokykloms būtų nacionaliniu lygiu parengti pertvarkytą ugdymo turinį atitinkantys pamatuojami mokymosi pasiekimų standartai ir kokybiška metodinė medžiaga bei šiuolaikiškos mokymosi priemonės (taip pat ir skaitmeninės). Valstybės remiamas pasirenkamasis ugdymo turinys</w:t>
      </w:r>
      <w:proofErr w:type="gramStart"/>
      <w:r w:rsidRPr="009775D0">
        <w:rPr>
          <w:rFonts w:ascii="Times New Roman" w:hAnsi="Times New Roman" w:cs="Times New Roman"/>
          <w:sz w:val="24"/>
          <w:szCs w:val="24"/>
        </w:rPr>
        <w:t>, visų pirma,</w:t>
      </w:r>
      <w:proofErr w:type="gramEnd"/>
      <w:r w:rsidRPr="009775D0">
        <w:rPr>
          <w:rFonts w:ascii="Times New Roman" w:hAnsi="Times New Roman" w:cs="Times New Roman"/>
          <w:sz w:val="24"/>
          <w:szCs w:val="24"/>
        </w:rPr>
        <w:t xml:space="preserve"> turėtų būti nukreiptas į tradicinio mokyklinio ugdymo turinio gilinimą, plėtimą, pritaikymą įvairių poreikių mokiniams, gebėjimų įtvirtinimą, dalykų tarpusavio integravimą ir mokinių </w:t>
      </w:r>
      <w:proofErr w:type="spellStart"/>
      <w:r w:rsidRPr="009775D0">
        <w:rPr>
          <w:rFonts w:ascii="Times New Roman" w:hAnsi="Times New Roman" w:cs="Times New Roman"/>
          <w:sz w:val="24"/>
          <w:szCs w:val="24"/>
        </w:rPr>
        <w:t>mokymą(si</w:t>
      </w:r>
      <w:proofErr w:type="spellEnd"/>
      <w:r w:rsidRPr="009775D0">
        <w:rPr>
          <w:rFonts w:ascii="Times New Roman" w:hAnsi="Times New Roman" w:cs="Times New Roman"/>
          <w:sz w:val="24"/>
          <w:szCs w:val="24"/>
        </w:rPr>
        <w:t xml:space="preserve">) tikslingai ir adekvačiai rinktis tolesnį mokymosi kelią. </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ab/>
        <w:t xml:space="preserve">Akademinių dalykų pasirenkamasis ugdymo turinys turėtų būti orientuotas į gabesniųjų ir/ar labiau motyvuotų mokinių galimybes ir </w:t>
      </w:r>
      <w:proofErr w:type="gramStart"/>
      <w:r w:rsidRPr="009775D0">
        <w:rPr>
          <w:rFonts w:ascii="Times New Roman" w:hAnsi="Times New Roman" w:cs="Times New Roman"/>
          <w:sz w:val="24"/>
          <w:szCs w:val="24"/>
        </w:rPr>
        <w:t>poreikius</w:t>
      </w:r>
      <w:proofErr w:type="gramEnd"/>
      <w:r w:rsidRPr="009775D0">
        <w:rPr>
          <w:rFonts w:ascii="Times New Roman" w:hAnsi="Times New Roman" w:cs="Times New Roman"/>
          <w:sz w:val="24"/>
          <w:szCs w:val="24"/>
        </w:rPr>
        <w:t xml:space="preserve">. Ugdymo turinio branduolys ir valstybės remiamas pasirenkamasis ugdymo turinys galėtų būti suskirstytas į modulius su mokinių pasiekimų vertinimo kriterijais pagal pasiekimų lygius (standartai), kokybiška metodine medžiaga bei mokymosi priemonėmis. Centralizuotai parengta metodinė medžiaga ir mokymosi priemonės padėtų per trumpesnį laiką patobulinti mokytojų </w:t>
      </w:r>
      <w:r w:rsidRPr="009775D0">
        <w:rPr>
          <w:rFonts w:ascii="Times New Roman" w:hAnsi="Times New Roman" w:cs="Times New Roman"/>
          <w:sz w:val="24"/>
          <w:szCs w:val="24"/>
        </w:rPr>
        <w:lastRenderedPageBreak/>
        <w:t xml:space="preserve">kompetenciją ir įdiegti efektyvesnius įvairių polinkių ir </w:t>
      </w:r>
      <w:proofErr w:type="gramStart"/>
      <w:r w:rsidRPr="009775D0">
        <w:rPr>
          <w:rFonts w:ascii="Times New Roman" w:hAnsi="Times New Roman" w:cs="Times New Roman"/>
          <w:sz w:val="24"/>
          <w:szCs w:val="24"/>
        </w:rPr>
        <w:t>poreikių</w:t>
      </w:r>
      <w:proofErr w:type="gramEnd"/>
      <w:r w:rsidRPr="009775D0">
        <w:rPr>
          <w:rFonts w:ascii="Times New Roman" w:hAnsi="Times New Roman" w:cs="Times New Roman"/>
          <w:sz w:val="24"/>
          <w:szCs w:val="24"/>
        </w:rPr>
        <w:t xml:space="preserve"> mokinių mokymo ir mokymosi būdus. </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ab/>
        <w:t>Tiek užsienio šalių, tiek Lietuvos patirtis rodo, kad nereikia skubėti įvedinėti nuoseklaus, viską apimančio modulinio mokymo, kol mokiniai dar nėra jam pakankamai subrendę ir pasiruošę. Pavyzdžiui, išnagrinėtose švietimo sistemose nacionaliniame lygmenyje randami tik atskiri ugdymo organizavimo moduliais elementai (nors valstybė paprastai netrukdo mokykloms taikyti modulinį mokymą savo nuožiūra). Tačiau, siekiant patobulinant ugdymo organizavimą ir mokyti mokinius mokytis visą gyvenimą, 9-10 klasėse tikslinga pradėti centralizuotai diegti modulinio ugdymo elementus. Šiuo tikslu, strategiškai svarbiausių dalykų (visų pirma, gimtosios kalbos ir matematikos) kursai turėtų būti pertvarkyti pagal modulinę struktūrą, kuri yra tinkama individualizuoti ir diferencijuoti ugdymą, padėti įveikti mokinių ankstesnio pasirengimo trūkumus, padėti mokytojams įvaldyti darbo su įvairių mokymosi stilių ir gebėjimų vaikais metodikas. Modulinė dalykų programų struktūra turėtų aprėpti įvairios paskirties modulius – branduolio (apimančius pagrindinį kurso ugdymo turinį), išlyginamuosius (apimančius tą ugdymo turinį, kurio reikia sėkmingam kurso įsisavinimui, ir kurio dalis mokinių nėra įsisavinę ), papildomuosius (skirtus specifinių ugdymosi poreikių turintiems mokiniams, pavyzdžiui – gabiesiems). Mokykloms modulinė programų struktūra padėtų plėsti mokinių savarankišką mokymąsi, taip pat ir virtualioje erdvėje.</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ab/>
        <w:t xml:space="preserve">Mokyklos pastangos atsirenkant, pritaikant ir kuriant mokyklos lygmens ugdymo turinį būtų siejamos su mokinių poreikiais, interesais, mokymosi stiliais ir kt. Nedidelį kiekį trūkstamų kursų (pvz., integruotų) ir modulių mokykla pasirengtų pati. </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ab/>
        <w:t xml:space="preserve">Mokiniai, atsižvelgdami į savo individualius ypatumus, laipsniškai pratintųsi rinktis ugdymo turinį ir adekvačiai planuoti tolesnio mokymosi kryptį. </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ab/>
        <w:t xml:space="preserve">Šalies mastu turėtų būti imtasi priemonių, kad iki 10 klasės pabaigos mokiniai nebūtų pernelyg siaurai specializuojami ir neprarastų lygių tolesnio mokymosi galimybių. Vietoje siauro mokymosi specializavimo 9-10 klasėse turėtų būti skatinamas ugdymo individualizavimas ir pritaikymas įvairių poreikių ir polinkių mokiniams, leidžiant rinktis ne daugiau kaip 10-15% pamokų. Užsienio patirtis rodo, kad pernelyg didelės mokinių apsirinkimo galimybės gali paskatinti tolesnio mokymosi galimybes ribojančių mokinių srautų susiformavimą, nepagrįstą mokinių selekciją pagal socialinius požymius ir kitus negatyvius reiškinius, užkertančius kelią lygių galimybių principo švietime įgyvendinimui. </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ab/>
        <w:t xml:space="preserve">Šalies mastu sukurta objektyvi, aiškiais kriterijais besiremianti mokinių pasiekimų vertinimo sistema padėtų patobulinti ir ugdymo praktikoje geriau suderinanti formuojamąjį ir apibendrinamąjį vertinimą. Centralizuotai sukurta speciali 9-10 klasių mokinių mokymosi pasiekimų, pažangos ir ugdymo turinio pasirinkimų </w:t>
      </w:r>
      <w:proofErr w:type="spellStart"/>
      <w:r w:rsidRPr="009775D0">
        <w:rPr>
          <w:rFonts w:ascii="Times New Roman" w:hAnsi="Times New Roman" w:cs="Times New Roman"/>
          <w:sz w:val="24"/>
          <w:szCs w:val="24"/>
        </w:rPr>
        <w:t>stebėsenos</w:t>
      </w:r>
      <w:proofErr w:type="spellEnd"/>
      <w:r w:rsidRPr="009775D0">
        <w:rPr>
          <w:rFonts w:ascii="Times New Roman" w:hAnsi="Times New Roman" w:cs="Times New Roman"/>
          <w:sz w:val="24"/>
          <w:szCs w:val="24"/>
        </w:rPr>
        <w:t xml:space="preserve"> ir konsultavimo metodika, padėtų išspręsti dar vieną svarbų uždavinį – paspartintų modernių kokybės užtikrinimo metodų diegimą mokykloje. Ši metodika padėtų mokytojams paaiškinti mokiniams, kad „lengviausio kelio“ pasirinkimas ribotų jų tolesnio mokymosi galimybes, ir padėti mokiniams siekti savo mokymosi tikslų. Modulinio mokymo elementų taikymas ir kiti ugdymo organizavimo pokyčiai būtų orientuoti į konkrečius rezultatus – geresnius mokymosi </w:t>
      </w:r>
      <w:r w:rsidRPr="009775D0">
        <w:rPr>
          <w:rFonts w:ascii="Times New Roman" w:hAnsi="Times New Roman" w:cs="Times New Roman"/>
          <w:sz w:val="24"/>
          <w:szCs w:val="24"/>
        </w:rPr>
        <w:lastRenderedPageBreak/>
        <w:t>pasiekimus, o mokymo ir mokymosi metodai būtų lankstūs. Tokios patirties galima pasisemti, pavyzdžiui, iš Suomijos ar Anglijos švietimo sistemų.</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ab/>
        <w:t>Remiantis užsienio patirtimi, pradedant nuo nedidelių bandomųjų projektų, skirtų mokinių pasirinkimo galimybių didinimui ir mokymosi konteksto įvairinimui, būtų panaudojamos ne tik atskirų mokyklų, bet ir kitų greta (toje pačioje teritorijoje) veikiančių ugdymo įstaigų sukuriamos galimybės. Tuo tikslu, savivaldybės padėtų mokykloms sutartiniu pagrindu koordinuoti savo veiklą arba kurti teritorines mokyklų asociacijas, kurių paskirtis būtų kokybiškų ugdymo pasirinkimo galimybių mokiniams didinimas. Panašiais principais veikia, pavyzdžiui, Suomijos bendrasis ugdymas, kur valstybė finansuoja daugybę nedidelių, mišrių mokyklų ir universitetų projektų, kurių tikslas – kurti inovacijas ir diegti jas mokyklose, vadovaujant mokslininkams. Paprastai tokiuose projektuose dalyvauja ne daugiau kaip dešimt mokyklų. Be to, daugelis Suomijos savivaldybių padeda mokykloms kooperuotis, teikiant mokiniams pasirenkamąjį ugdymo turinį, taip pat kooperuotis ir su profesinėmis mokyklomis, padeda užmegzti ryšius su darbo pasauliu, o kartais pačios savivaldybės siūlo savo sukurtus ugdymo turinio pasirinkimus.</w:t>
      </w:r>
    </w:p>
    <w:p w:rsidR="009623C0" w:rsidRPr="009775D0" w:rsidRDefault="009623C0" w:rsidP="009775D0">
      <w:pPr>
        <w:jc w:val="both"/>
        <w:rPr>
          <w:rFonts w:ascii="Times New Roman" w:hAnsi="Times New Roman" w:cs="Times New Roman"/>
          <w:sz w:val="24"/>
          <w:szCs w:val="24"/>
        </w:rPr>
      </w:pPr>
      <w:r w:rsidRPr="009775D0">
        <w:rPr>
          <w:rFonts w:ascii="Times New Roman" w:hAnsi="Times New Roman" w:cs="Times New Roman"/>
          <w:sz w:val="24"/>
          <w:szCs w:val="24"/>
        </w:rPr>
        <w:t xml:space="preserve">I-oji alternatyva struktūruotai aprašyta žemiau pateikiamoje </w:t>
      </w:r>
      <w:r w:rsidR="009775D0">
        <w:rPr>
          <w:rFonts w:ascii="Times New Roman" w:hAnsi="Times New Roman" w:cs="Times New Roman"/>
          <w:i/>
          <w:sz w:val="24"/>
          <w:szCs w:val="24"/>
        </w:rPr>
        <w:t>1</w:t>
      </w:r>
      <w:r w:rsidRPr="009775D0">
        <w:rPr>
          <w:rFonts w:ascii="Times New Roman" w:hAnsi="Times New Roman" w:cs="Times New Roman"/>
          <w:i/>
          <w:sz w:val="24"/>
          <w:szCs w:val="24"/>
        </w:rPr>
        <w:t xml:space="preserve"> lentelėje</w:t>
      </w:r>
      <w:r w:rsidRPr="009775D0">
        <w:rPr>
          <w:rFonts w:ascii="Times New Roman" w:hAnsi="Times New Roman" w:cs="Times New Roman"/>
          <w:sz w:val="24"/>
          <w:szCs w:val="24"/>
        </w:rPr>
        <w:t>. Joje apžvelgtas mokyklos ir nacionalinio lygmens atsakomybių ir įgaliojimų pasidalijimas pagal veiklos sritis. Nacionalinis lygmuo mokyklai padeda spręsti</w:t>
      </w:r>
      <w:r w:rsidRPr="009775D0" w:rsidDel="00E06AA4">
        <w:rPr>
          <w:rFonts w:ascii="Times New Roman" w:hAnsi="Times New Roman" w:cs="Times New Roman"/>
          <w:sz w:val="24"/>
          <w:szCs w:val="24"/>
        </w:rPr>
        <w:t xml:space="preserve"> </w:t>
      </w:r>
      <w:r w:rsidRPr="009775D0">
        <w:rPr>
          <w:rFonts w:ascii="Times New Roman" w:hAnsi="Times New Roman" w:cs="Times New Roman"/>
          <w:sz w:val="24"/>
          <w:szCs w:val="24"/>
        </w:rPr>
        <w:t xml:space="preserve">svarbiausius ugdymo organizavimo klausimus. Ugdymo kokybė mokykloje užtikrinama remiantis nacionaliniame lygmenyje sukurta sistema. Mokykla susikuria mokyklos lygmens ugdymo turinį prisitaikydama ir atsirinkdama tuos ugdymo turinio elementus ir priemones (branduoliu, kursais, moduliais, metodikomis, mokymo priemonėmis), kurias inicijavo ir/ar parengė nacionalinis lygmuo. Nacionalinis lygmuo, remdamasis tyrimais ir specialistų rekomendacijomis, nustato pagrįstus mokinių pasiekimų vertinimo kriterijus pagal pasiekimų lygius, reglamentuoja mokinių ugdymo turinio rinkimosi galimybes, pasiekimų </w:t>
      </w:r>
      <w:proofErr w:type="spellStart"/>
      <w:r w:rsidRPr="009775D0">
        <w:rPr>
          <w:rFonts w:ascii="Times New Roman" w:hAnsi="Times New Roman" w:cs="Times New Roman"/>
          <w:sz w:val="24"/>
          <w:szCs w:val="24"/>
        </w:rPr>
        <w:t>stebėseną</w:t>
      </w:r>
      <w:proofErr w:type="spellEnd"/>
      <w:r w:rsidRPr="009775D0">
        <w:rPr>
          <w:rFonts w:ascii="Times New Roman" w:hAnsi="Times New Roman" w:cs="Times New Roman"/>
          <w:sz w:val="24"/>
          <w:szCs w:val="24"/>
        </w:rPr>
        <w:t>, mokinių konsultavimą ir mokymosi pagalbos mokiniams teikimą, parengia ugdymo organizavimo mokykloje metodines rekomendacijas, kurias mokykla lanksčiai įgyvendina. Nacionalinis lygmuo stebi mokyklų klimato ir materialinės mokymosi aplinkos pokyčius ir šalies mastu vykdo priemones, kurios padeda gerinti mokymosi aplinką mokyklose. Centralizuotai rūpinamasi ir būtiniausiomis vidinėmis ir išorinėmis sąlygomis, kurios padeda geriau organizuoti ugdymą mokyklose.</w:t>
      </w:r>
    </w:p>
    <w:p w:rsidR="009623C0" w:rsidRPr="009775D0" w:rsidRDefault="009623C0" w:rsidP="009775D0">
      <w:pPr>
        <w:jc w:val="both"/>
        <w:rPr>
          <w:rFonts w:ascii="Times New Roman" w:hAnsi="Times New Roman" w:cs="Times New Roman"/>
          <w:sz w:val="24"/>
          <w:szCs w:val="24"/>
        </w:rPr>
        <w:sectPr w:rsidR="009623C0" w:rsidRPr="009775D0" w:rsidSect="00242D01">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567" w:footer="567" w:gutter="0"/>
          <w:cols w:space="1296"/>
          <w:docGrid w:linePitch="360"/>
        </w:sectPr>
      </w:pPr>
      <w:r w:rsidRPr="009775D0">
        <w:rPr>
          <w:rFonts w:ascii="Times New Roman" w:hAnsi="Times New Roman" w:cs="Times New Roman"/>
          <w:sz w:val="24"/>
          <w:szCs w:val="24"/>
        </w:rPr>
        <w:t xml:space="preserve"> </w:t>
      </w:r>
      <w:r w:rsidRPr="009775D0">
        <w:rPr>
          <w:rFonts w:ascii="Times New Roman" w:hAnsi="Times New Roman" w:cs="Times New Roman"/>
          <w:sz w:val="24"/>
          <w:szCs w:val="24"/>
        </w:rPr>
        <w:br w:type="page"/>
      </w:r>
    </w:p>
    <w:p w:rsidR="009623C0" w:rsidRPr="009775D0" w:rsidRDefault="009623C0" w:rsidP="009623C0">
      <w:pPr>
        <w:rPr>
          <w:rFonts w:ascii="Times New Roman" w:hAnsi="Times New Roman" w:cs="Times New Roman"/>
          <w:b/>
          <w:i/>
        </w:rPr>
      </w:pPr>
      <w:r w:rsidRPr="009775D0">
        <w:rPr>
          <w:rFonts w:ascii="Times New Roman" w:hAnsi="Times New Roman" w:cs="Times New Roman"/>
          <w:b/>
          <w:i/>
        </w:rPr>
        <w:lastRenderedPageBreak/>
        <w:t>1 lentelė. I-</w:t>
      </w:r>
      <w:proofErr w:type="spellStart"/>
      <w:r w:rsidRPr="009775D0">
        <w:rPr>
          <w:rFonts w:ascii="Times New Roman" w:hAnsi="Times New Roman" w:cs="Times New Roman"/>
          <w:b/>
          <w:i/>
        </w:rPr>
        <w:t>osios</w:t>
      </w:r>
      <w:proofErr w:type="spellEnd"/>
      <w:r w:rsidRPr="009775D0">
        <w:rPr>
          <w:rFonts w:ascii="Times New Roman" w:hAnsi="Times New Roman" w:cs="Times New Roman"/>
          <w:b/>
          <w:i/>
        </w:rPr>
        <w:t xml:space="preserve"> alternatyvos struktūrinis aprašymas</w:t>
      </w:r>
    </w:p>
    <w:tbl>
      <w:tblPr>
        <w:tblStyle w:val="Lentelstinklelis"/>
        <w:tblW w:w="14567" w:type="dxa"/>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4219"/>
        <w:gridCol w:w="2410"/>
        <w:gridCol w:w="7938"/>
      </w:tblGrid>
      <w:tr w:rsidR="009623C0" w:rsidRPr="009775D0" w:rsidTr="0008610F">
        <w:tc>
          <w:tcPr>
            <w:tcW w:w="4219" w:type="dxa"/>
            <w:shd w:val="clear" w:color="auto" w:fill="365F91" w:themeFill="accent1" w:themeFillShade="BF"/>
            <w:vAlign w:val="center"/>
          </w:tcPr>
          <w:p w:rsidR="009623C0" w:rsidRPr="009775D0" w:rsidRDefault="009623C0" w:rsidP="009623C0">
            <w:pPr>
              <w:spacing w:after="200" w:line="276" w:lineRule="auto"/>
              <w:rPr>
                <w:rFonts w:ascii="Times New Roman" w:hAnsi="Times New Roman" w:cs="Times New Roman"/>
              </w:rPr>
            </w:pPr>
            <w:r w:rsidRPr="009775D0">
              <w:rPr>
                <w:rFonts w:ascii="Times New Roman" w:hAnsi="Times New Roman" w:cs="Times New Roman"/>
              </w:rPr>
              <w:t>Mokykla</w:t>
            </w:r>
          </w:p>
        </w:tc>
        <w:tc>
          <w:tcPr>
            <w:tcW w:w="2410" w:type="dxa"/>
            <w:shd w:val="clear" w:color="auto" w:fill="17365D" w:themeFill="text2" w:themeFillShade="BF"/>
            <w:vAlign w:val="center"/>
          </w:tcPr>
          <w:p w:rsidR="009623C0" w:rsidRPr="009775D0" w:rsidRDefault="009623C0" w:rsidP="009623C0">
            <w:pPr>
              <w:spacing w:after="200" w:line="276" w:lineRule="auto"/>
              <w:rPr>
                <w:rFonts w:ascii="Times New Roman" w:hAnsi="Times New Roman" w:cs="Times New Roman"/>
              </w:rPr>
            </w:pPr>
            <w:r w:rsidRPr="009775D0">
              <w:rPr>
                <w:rFonts w:ascii="Times New Roman" w:hAnsi="Times New Roman" w:cs="Times New Roman"/>
              </w:rPr>
              <w:t>Veiklos sritys</w:t>
            </w:r>
          </w:p>
        </w:tc>
        <w:tc>
          <w:tcPr>
            <w:tcW w:w="7938" w:type="dxa"/>
            <w:shd w:val="clear" w:color="auto" w:fill="365F91" w:themeFill="accent1" w:themeFillShade="BF"/>
            <w:vAlign w:val="center"/>
          </w:tcPr>
          <w:p w:rsidR="009623C0" w:rsidRPr="009775D0" w:rsidRDefault="009623C0" w:rsidP="009623C0">
            <w:pPr>
              <w:spacing w:after="200" w:line="276" w:lineRule="auto"/>
              <w:rPr>
                <w:rFonts w:ascii="Times New Roman" w:hAnsi="Times New Roman" w:cs="Times New Roman"/>
              </w:rPr>
            </w:pPr>
            <w:r w:rsidRPr="009775D0">
              <w:rPr>
                <w:rFonts w:ascii="Times New Roman" w:hAnsi="Times New Roman" w:cs="Times New Roman"/>
              </w:rPr>
              <w:t>Nacionalinis lygmuo</w:t>
            </w:r>
          </w:p>
        </w:tc>
      </w:tr>
      <w:tr w:rsidR="009623C0" w:rsidRPr="009775D0" w:rsidTr="0008610F">
        <w:tc>
          <w:tcPr>
            <w:tcW w:w="4219" w:type="dxa"/>
          </w:tcPr>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 xml:space="preserve">Vadovaudamasi nacionaline kokybės užtikrinimo sistema parengia ir įgyvendina kokybės užtikrinimo mokykloje tvarką. </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 xml:space="preserve">Prisitaiko mokinių pasiekimų rodiklių ir </w:t>
            </w:r>
            <w:proofErr w:type="spellStart"/>
            <w:r w:rsidRPr="009775D0">
              <w:rPr>
                <w:rFonts w:ascii="Times New Roman" w:hAnsi="Times New Roman" w:cs="Times New Roman"/>
              </w:rPr>
              <w:t>kriterinių</w:t>
            </w:r>
            <w:proofErr w:type="spellEnd"/>
            <w:r w:rsidRPr="009775D0">
              <w:rPr>
                <w:rFonts w:ascii="Times New Roman" w:hAnsi="Times New Roman" w:cs="Times New Roman"/>
              </w:rPr>
              <w:t xml:space="preserve"> ribų sistemą.</w:t>
            </w:r>
          </w:p>
        </w:tc>
        <w:tc>
          <w:tcPr>
            <w:tcW w:w="2410" w:type="dxa"/>
            <w:shd w:val="clear" w:color="auto" w:fill="DBE5F1" w:themeFill="accent1" w:themeFillTint="33"/>
            <w:vAlign w:val="center"/>
          </w:tcPr>
          <w:p w:rsidR="009623C0" w:rsidRPr="009775D0" w:rsidRDefault="009623C0" w:rsidP="009623C0">
            <w:pPr>
              <w:spacing w:after="200" w:line="276" w:lineRule="auto"/>
              <w:rPr>
                <w:rFonts w:ascii="Times New Roman" w:hAnsi="Times New Roman" w:cs="Times New Roman"/>
              </w:rPr>
            </w:pPr>
            <w:r w:rsidRPr="009775D0">
              <w:rPr>
                <w:rFonts w:ascii="Times New Roman" w:hAnsi="Times New Roman" w:cs="Times New Roman"/>
              </w:rPr>
              <w:t>Ugdymo kokybės mokykloje užtikrinimas</w:t>
            </w:r>
          </w:p>
          <w:p w:rsidR="009623C0" w:rsidRPr="009775D0" w:rsidRDefault="009623C0" w:rsidP="009623C0">
            <w:pPr>
              <w:spacing w:after="200" w:line="276" w:lineRule="auto"/>
              <w:rPr>
                <w:rFonts w:ascii="Times New Roman" w:hAnsi="Times New Roman" w:cs="Times New Roman"/>
              </w:rPr>
            </w:pPr>
          </w:p>
        </w:tc>
        <w:tc>
          <w:tcPr>
            <w:tcW w:w="7938" w:type="dxa"/>
          </w:tcPr>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 xml:space="preserve">Reglamentuoja kokybės užtikrinimo sistemą mokykloje, nustato kokybės rodiklius, siekinius ir atskaitomybės tvarką. </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 xml:space="preserve">Greta nacionalinės ugdymo kokybės </w:t>
            </w:r>
            <w:proofErr w:type="spellStart"/>
            <w:r w:rsidRPr="009775D0">
              <w:rPr>
                <w:rFonts w:ascii="Times New Roman" w:hAnsi="Times New Roman" w:cs="Times New Roman"/>
              </w:rPr>
              <w:t>stebėsenos</w:t>
            </w:r>
            <w:proofErr w:type="spellEnd"/>
            <w:r w:rsidRPr="009775D0">
              <w:rPr>
                <w:rFonts w:ascii="Times New Roman" w:hAnsi="Times New Roman" w:cs="Times New Roman"/>
              </w:rPr>
              <w:t xml:space="preserve">, vykdo ir mokyklų darbo kokybės auditą (apimantį ir ugdymo organizavimo auditą), skirtą teikti grįžtamąjį ryšį vadovams ir mokytojams. </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Planuoja ir vykdo mokytojų ir vadovų kompetencijų, būtinų efektyvesniam ugdymo organizavimui tobulinimo priemones.</w:t>
            </w:r>
          </w:p>
        </w:tc>
      </w:tr>
      <w:tr w:rsidR="009623C0" w:rsidRPr="009775D0" w:rsidTr="0008610F">
        <w:tc>
          <w:tcPr>
            <w:tcW w:w="4219" w:type="dxa"/>
          </w:tcPr>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Pagal nacionalinio lygmens nurodymus, suplanuoja ir vykdo ugdymo turinio (toliau UT) branduolio, nacionalinių ir savo mokyklos UT pasirinkimo galimybių bei rengimo karjerai priemonių ir valstybės numatytos pagalbos mokiniams įgyvendinimą.</w:t>
            </w:r>
          </w:p>
        </w:tc>
        <w:tc>
          <w:tcPr>
            <w:tcW w:w="2410" w:type="dxa"/>
            <w:shd w:val="clear" w:color="auto" w:fill="DBE5F1" w:themeFill="accent1" w:themeFillTint="33"/>
            <w:vAlign w:val="center"/>
          </w:tcPr>
          <w:p w:rsidR="009623C0" w:rsidRPr="009775D0" w:rsidRDefault="009623C0" w:rsidP="009623C0">
            <w:pPr>
              <w:spacing w:after="200" w:line="276" w:lineRule="auto"/>
              <w:rPr>
                <w:rFonts w:ascii="Times New Roman" w:hAnsi="Times New Roman" w:cs="Times New Roman"/>
              </w:rPr>
            </w:pPr>
            <w:r w:rsidRPr="009775D0">
              <w:rPr>
                <w:rFonts w:ascii="Times New Roman" w:hAnsi="Times New Roman" w:cs="Times New Roman"/>
              </w:rPr>
              <w:t>Mokyklos ugdymo turinys (UT)</w:t>
            </w:r>
          </w:p>
        </w:tc>
        <w:tc>
          <w:tcPr>
            <w:tcW w:w="7938" w:type="dxa"/>
          </w:tcPr>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Nustato privalomą UT branduolį 9-10 klasių mokiniams.</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Reglamentuoja ir parengia nacionalinio lygmens privalomus ir privalomai pasirenkamuosius kursus/modulius, reikiamas mokymo priemones, diferencijavimo ir individualizavimo metodiką. Nustato, kad privalomo ir laisvo pasirinkimo galimybės (išskyrus I ir II užsienio kalbas) neviršija 10-15% mokymosi krūvio.</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Nustato nacionalines, standartines mokinių konsultavimo procedūras.</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Kuria nacionalinę karjeros ugdymo priemonių sistemą.</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Atlieka mokslinius tyrimus.</w:t>
            </w:r>
          </w:p>
        </w:tc>
      </w:tr>
      <w:tr w:rsidR="009623C0" w:rsidRPr="009775D0" w:rsidTr="0008610F">
        <w:tc>
          <w:tcPr>
            <w:tcW w:w="4219" w:type="dxa"/>
          </w:tcPr>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Vadovaujasi nacionaliniais pasiekimų vertinimo kriterijais ir reglamentais.</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 xml:space="preserve">Vadovaudamasi </w:t>
            </w:r>
            <w:r w:rsidRPr="009775D0">
              <w:rPr>
                <w:rFonts w:ascii="Times New Roman" w:hAnsi="Times New Roman" w:cs="Times New Roman"/>
              </w:rPr>
              <w:lastRenderedPageBreak/>
              <w:t xml:space="preserve">nacionaliniais ugdymo proceso </w:t>
            </w:r>
            <w:proofErr w:type="spellStart"/>
            <w:r w:rsidRPr="009775D0">
              <w:rPr>
                <w:rFonts w:ascii="Times New Roman" w:hAnsi="Times New Roman" w:cs="Times New Roman"/>
              </w:rPr>
              <w:t>stebėsenos</w:t>
            </w:r>
            <w:proofErr w:type="spellEnd"/>
            <w:r w:rsidRPr="009775D0">
              <w:rPr>
                <w:rFonts w:ascii="Times New Roman" w:hAnsi="Times New Roman" w:cs="Times New Roman"/>
              </w:rPr>
              <w:t xml:space="preserve">  ir ugdymo individualizavimo reglamentais parengia ir įgyvendina mokyklos reglamentus. </w:t>
            </w:r>
          </w:p>
        </w:tc>
        <w:tc>
          <w:tcPr>
            <w:tcW w:w="2410" w:type="dxa"/>
            <w:shd w:val="clear" w:color="auto" w:fill="DBE5F1" w:themeFill="accent1" w:themeFillTint="33"/>
            <w:vAlign w:val="center"/>
          </w:tcPr>
          <w:p w:rsidR="009623C0" w:rsidRPr="009775D0" w:rsidRDefault="009623C0" w:rsidP="009623C0">
            <w:pPr>
              <w:spacing w:after="200" w:line="276" w:lineRule="auto"/>
              <w:rPr>
                <w:rFonts w:ascii="Times New Roman" w:hAnsi="Times New Roman" w:cs="Times New Roman"/>
              </w:rPr>
            </w:pPr>
            <w:r w:rsidRPr="009775D0">
              <w:rPr>
                <w:rFonts w:ascii="Times New Roman" w:hAnsi="Times New Roman" w:cs="Times New Roman"/>
              </w:rPr>
              <w:lastRenderedPageBreak/>
              <w:t>Ugdymo proceso struktūravimas ir organizavimas</w:t>
            </w:r>
          </w:p>
        </w:tc>
        <w:tc>
          <w:tcPr>
            <w:tcW w:w="7938" w:type="dxa"/>
          </w:tcPr>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 xml:space="preserve">Sukuria nacionalinę mokinių pasiekimų vertinimo kriterijų sistemą ir reglamentuoja mokinių pasiekimų vertinimą. </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 xml:space="preserve">Reglamentuoja mokymosi pasiekimų ir pažangos </w:t>
            </w:r>
            <w:proofErr w:type="spellStart"/>
            <w:r w:rsidRPr="009775D0">
              <w:rPr>
                <w:rFonts w:ascii="Times New Roman" w:hAnsi="Times New Roman" w:cs="Times New Roman"/>
              </w:rPr>
              <w:t>stebėseną</w:t>
            </w:r>
            <w:proofErr w:type="spellEnd"/>
            <w:r w:rsidRPr="009775D0">
              <w:rPr>
                <w:rFonts w:ascii="Times New Roman" w:hAnsi="Times New Roman" w:cs="Times New Roman"/>
              </w:rPr>
              <w:t xml:space="preserve"> ir </w:t>
            </w:r>
            <w:r w:rsidRPr="009775D0">
              <w:rPr>
                <w:rFonts w:ascii="Times New Roman" w:hAnsi="Times New Roman" w:cs="Times New Roman"/>
              </w:rPr>
              <w:lastRenderedPageBreak/>
              <w:t xml:space="preserve">mokymosi pagalbos  mokiniams sąlygas ir priemones. </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Reglamentuoja mokinių UT pasirinkimo ir ugdymo individualizavimo galimybes.</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Parengia tvarkaraščių sudarymo metodines rekomendacijas.</w:t>
            </w:r>
          </w:p>
        </w:tc>
      </w:tr>
      <w:tr w:rsidR="009623C0" w:rsidRPr="009775D0" w:rsidTr="0008610F">
        <w:tc>
          <w:tcPr>
            <w:tcW w:w="4219" w:type="dxa"/>
          </w:tcPr>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lastRenderedPageBreak/>
              <w:t>Parengia ir įgyvendina organizacinių priemonių sistemą mokymosi aplinkai gerinti.</w:t>
            </w:r>
          </w:p>
        </w:tc>
        <w:tc>
          <w:tcPr>
            <w:tcW w:w="2410" w:type="dxa"/>
            <w:shd w:val="clear" w:color="auto" w:fill="DBE5F1" w:themeFill="accent1" w:themeFillTint="33"/>
            <w:vAlign w:val="center"/>
          </w:tcPr>
          <w:p w:rsidR="009623C0" w:rsidRPr="009775D0" w:rsidRDefault="009623C0" w:rsidP="009623C0">
            <w:pPr>
              <w:spacing w:after="200" w:line="276" w:lineRule="auto"/>
              <w:rPr>
                <w:rFonts w:ascii="Times New Roman" w:hAnsi="Times New Roman" w:cs="Times New Roman"/>
              </w:rPr>
            </w:pPr>
            <w:r w:rsidRPr="009775D0">
              <w:rPr>
                <w:rFonts w:ascii="Times New Roman" w:hAnsi="Times New Roman" w:cs="Times New Roman"/>
              </w:rPr>
              <w:t>Mokymosi aplinka</w:t>
            </w:r>
          </w:p>
        </w:tc>
        <w:tc>
          <w:tcPr>
            <w:tcW w:w="7938" w:type="dxa"/>
          </w:tcPr>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 xml:space="preserve">Atlieka mokyklų klimato </w:t>
            </w:r>
            <w:proofErr w:type="spellStart"/>
            <w:r w:rsidRPr="009775D0">
              <w:rPr>
                <w:rFonts w:ascii="Times New Roman" w:hAnsi="Times New Roman" w:cs="Times New Roman"/>
              </w:rPr>
              <w:t>stebėseną</w:t>
            </w:r>
            <w:proofErr w:type="spellEnd"/>
            <w:r w:rsidRPr="009775D0">
              <w:rPr>
                <w:rFonts w:ascii="Times New Roman" w:hAnsi="Times New Roman" w:cs="Times New Roman"/>
              </w:rPr>
              <w:t xml:space="preserve"> ir teikia mokykloms pagalbą ją gerinant.</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Kuria nacionalinio lygmens virtualios mokymosi pagalbos tinklus mokiniams, turintiems specialiųjų ugdymosi poreikių. Kuria virtualias mokymosi aplinkas, atitinkančias įvairius mokinių ugdymosi poreikius.</w:t>
            </w:r>
          </w:p>
        </w:tc>
      </w:tr>
      <w:tr w:rsidR="009623C0" w:rsidRPr="009775D0" w:rsidTr="0008610F">
        <w:tc>
          <w:tcPr>
            <w:tcW w:w="4219" w:type="dxa"/>
          </w:tcPr>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Rūpinasi ugdymo kokybei palankia mokyklos kultūra</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Panaudoja visas darbo apskaitos ir apmokėjimo tvarkos galimybes pedagogų motyvacijai stiprinti.</w:t>
            </w:r>
          </w:p>
        </w:tc>
        <w:tc>
          <w:tcPr>
            <w:tcW w:w="2410" w:type="dxa"/>
            <w:shd w:val="clear" w:color="auto" w:fill="365F91" w:themeFill="accent1" w:themeFillShade="BF"/>
            <w:vAlign w:val="center"/>
          </w:tcPr>
          <w:p w:rsidR="009623C0" w:rsidRPr="009775D0" w:rsidRDefault="009623C0" w:rsidP="009623C0">
            <w:pPr>
              <w:spacing w:after="200" w:line="276" w:lineRule="auto"/>
              <w:rPr>
                <w:rFonts w:ascii="Times New Roman" w:hAnsi="Times New Roman" w:cs="Times New Roman"/>
              </w:rPr>
            </w:pPr>
            <w:r w:rsidRPr="009775D0">
              <w:rPr>
                <w:rFonts w:ascii="Times New Roman" w:hAnsi="Times New Roman" w:cs="Times New Roman"/>
              </w:rPr>
              <w:t>Būtinos vidinės ir išorinės sąlygos</w:t>
            </w:r>
          </w:p>
        </w:tc>
        <w:tc>
          <w:tcPr>
            <w:tcW w:w="7938" w:type="dxa"/>
          </w:tcPr>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 xml:space="preserve">Atlieka </w:t>
            </w:r>
            <w:proofErr w:type="spellStart"/>
            <w:r w:rsidRPr="009775D0">
              <w:rPr>
                <w:rFonts w:ascii="Times New Roman" w:hAnsi="Times New Roman" w:cs="Times New Roman"/>
              </w:rPr>
              <w:t>stebėseną</w:t>
            </w:r>
            <w:proofErr w:type="spellEnd"/>
            <w:r w:rsidRPr="009775D0">
              <w:rPr>
                <w:rFonts w:ascii="Times New Roman" w:hAnsi="Times New Roman" w:cs="Times New Roman"/>
              </w:rPr>
              <w:t xml:space="preserve"> ir teikia pagalbą gerinant mokyklos kultūrą.</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Finansiškai remia mažas, bet tinklui reikalingas, mokyklas (jų skyrius).</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 xml:space="preserve">Vykdo geram ugdymo organizavimui ir ugdymo kokybės gerinimui palankią vadovėlių politiką, nevengia inicijuoti reikiamus vadovėlius. </w:t>
            </w:r>
          </w:p>
          <w:p w:rsidR="009623C0" w:rsidRPr="009775D0" w:rsidRDefault="009623C0" w:rsidP="009623C0">
            <w:pPr>
              <w:numPr>
                <w:ilvl w:val="1"/>
                <w:numId w:val="1"/>
              </w:numPr>
              <w:tabs>
                <w:tab w:val="clear" w:pos="1440"/>
                <w:tab w:val="num" w:pos="284"/>
              </w:tabs>
              <w:spacing w:after="200" w:line="276" w:lineRule="auto"/>
              <w:rPr>
                <w:rFonts w:ascii="Times New Roman" w:hAnsi="Times New Roman" w:cs="Times New Roman"/>
              </w:rPr>
            </w:pPr>
            <w:r w:rsidRPr="009775D0">
              <w:rPr>
                <w:rFonts w:ascii="Times New Roman" w:hAnsi="Times New Roman" w:cs="Times New Roman"/>
              </w:rPr>
              <w:t>Parengia mokytojų darbo apskaitos ir darbo apmokėjimo tvarką, motyvuojančią mokytojus diegti organizavimo naujoves.</w:t>
            </w:r>
          </w:p>
        </w:tc>
      </w:tr>
    </w:tbl>
    <w:p w:rsidR="009623C0" w:rsidRPr="009775D0" w:rsidRDefault="009623C0" w:rsidP="009623C0">
      <w:pPr>
        <w:rPr>
          <w:rFonts w:ascii="Times New Roman" w:hAnsi="Times New Roman" w:cs="Times New Roman"/>
        </w:rPr>
        <w:sectPr w:rsidR="009623C0" w:rsidRPr="009775D0" w:rsidSect="009775D0">
          <w:pgSz w:w="16838" w:h="11906" w:orient="landscape"/>
          <w:pgMar w:top="1440" w:right="1080" w:bottom="1440" w:left="1080" w:header="567" w:footer="567" w:gutter="0"/>
          <w:cols w:space="1296"/>
          <w:docGrid w:linePitch="360"/>
        </w:sectPr>
      </w:pPr>
    </w:p>
    <w:p w:rsidR="00DF5581" w:rsidRPr="009775D0" w:rsidRDefault="00DF5581">
      <w:pPr>
        <w:rPr>
          <w:rFonts w:ascii="Times New Roman" w:hAnsi="Times New Roman" w:cs="Times New Roman"/>
          <w:sz w:val="24"/>
          <w:szCs w:val="24"/>
        </w:rPr>
      </w:pPr>
    </w:p>
    <w:sectPr w:rsidR="00DF5581" w:rsidRPr="009775D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A5" w:rsidRDefault="00311AA5">
      <w:pPr>
        <w:spacing w:after="0" w:line="240" w:lineRule="auto"/>
      </w:pPr>
      <w:r>
        <w:separator/>
      </w:r>
    </w:p>
  </w:endnote>
  <w:endnote w:type="continuationSeparator" w:id="0">
    <w:p w:rsidR="00311AA5" w:rsidRDefault="00311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4E" w:rsidRDefault="00311AA5">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4646195"/>
      <w:docPartObj>
        <w:docPartGallery w:val="Page Numbers (Bottom of Page)"/>
        <w:docPartUnique/>
      </w:docPartObj>
    </w:sdtPr>
    <w:sdtEndPr/>
    <w:sdtContent>
      <w:p w:rsidR="00BF0E04" w:rsidRDefault="009623C0">
        <w:pPr>
          <w:pStyle w:val="Porat"/>
          <w:jc w:val="right"/>
        </w:pPr>
        <w:r>
          <w:fldChar w:fldCharType="begin"/>
        </w:r>
        <w:r>
          <w:instrText>PAGE   \* MERGEFORMAT</w:instrText>
        </w:r>
        <w:r>
          <w:fldChar w:fldCharType="separate"/>
        </w:r>
        <w:r w:rsidR="00591C43">
          <w:rPr>
            <w:noProof/>
          </w:rPr>
          <w:t>7</w:t>
        </w:r>
        <w:r>
          <w:rPr>
            <w:noProof/>
          </w:rPr>
          <w:fldChar w:fldCharType="end"/>
        </w:r>
      </w:p>
    </w:sdtContent>
  </w:sdt>
  <w:p w:rsidR="00BF0E04" w:rsidRDefault="00311AA5">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4E" w:rsidRDefault="00311AA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A5" w:rsidRDefault="00311AA5">
      <w:pPr>
        <w:spacing w:after="0" w:line="240" w:lineRule="auto"/>
      </w:pPr>
      <w:r>
        <w:separator/>
      </w:r>
    </w:p>
  </w:footnote>
  <w:footnote w:type="continuationSeparator" w:id="0">
    <w:p w:rsidR="00311AA5" w:rsidRDefault="00311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4E" w:rsidRDefault="00311AA5">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895" o:spid="_x0000_s2050" type="#_x0000_t136" style="position:absolute;margin-left:0;margin-top:0;width:479.6pt;height:159.85pt;rotation:315;z-index:-251656192;mso-position-horizontal:center;mso-position-horizontal-relative:margin;mso-position-vertical:center;mso-position-vertical-relative:margin" o:allowincell="f" fillcolor="#8db3e2 [1311]" stroked="f">
          <v:fill opacity=".5"/>
          <v:textpath style="font-family:&quot;Calibri&quot;;font-size:1pt" string="PROJEKTA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4E" w:rsidRDefault="00311AA5">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896" o:spid="_x0000_s2051" type="#_x0000_t136" style="position:absolute;margin-left:0;margin-top:0;width:479.6pt;height:159.85pt;rotation:315;z-index:-251655168;mso-position-horizontal:center;mso-position-horizontal-relative:margin;mso-position-vertical:center;mso-position-vertical-relative:margin" o:allowincell="f" fillcolor="#8db3e2 [1311]" stroked="f">
          <v:fill opacity=".5"/>
          <v:textpath style="font-family:&quot;Calibri&quot;;font-size:1pt" string="PROJEKTAS"/>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94E" w:rsidRDefault="00311AA5">
    <w:pPr>
      <w:pStyle w:val="Antrats"/>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894" o:spid="_x0000_s2049" type="#_x0000_t136" style="position:absolute;margin-left:0;margin-top:0;width:479.6pt;height:159.85pt;rotation:315;z-index:-251658240;mso-position-horizontal:center;mso-position-horizontal-relative:margin;mso-position-vertical:center;mso-position-vertical-relative:margin" o:allowincell="f" fillcolor="#8db3e2 [1311]" stroked="f">
          <v:fill opacity=".5"/>
          <v:textpath style="font-family:&quot;Calibri&quot;;font-size:1pt" string="PROJEKTA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791CC6"/>
    <w:multiLevelType w:val="hybridMultilevel"/>
    <w:tmpl w:val="FF609A7C"/>
    <w:lvl w:ilvl="0" w:tplc="05F4D9B6">
      <w:start w:val="1"/>
      <w:numFmt w:val="bullet"/>
      <w:lvlText w:val="•"/>
      <w:lvlJc w:val="left"/>
      <w:pPr>
        <w:tabs>
          <w:tab w:val="num" w:pos="720"/>
        </w:tabs>
        <w:ind w:left="720" w:hanging="360"/>
      </w:pPr>
      <w:rPr>
        <w:rFonts w:ascii="Times New Roman" w:hAnsi="Times New Roman" w:hint="default"/>
      </w:rPr>
    </w:lvl>
    <w:lvl w:ilvl="1" w:tplc="B720E76E">
      <w:start w:val="3146"/>
      <w:numFmt w:val="bullet"/>
      <w:lvlText w:val="•"/>
      <w:lvlJc w:val="left"/>
      <w:pPr>
        <w:tabs>
          <w:tab w:val="num" w:pos="1440"/>
        </w:tabs>
        <w:ind w:left="1440" w:hanging="360"/>
      </w:pPr>
      <w:rPr>
        <w:rFonts w:ascii="Times New Roman" w:hAnsi="Times New Roman" w:hint="default"/>
      </w:rPr>
    </w:lvl>
    <w:lvl w:ilvl="2" w:tplc="E398CB2A" w:tentative="1">
      <w:start w:val="1"/>
      <w:numFmt w:val="bullet"/>
      <w:lvlText w:val="•"/>
      <w:lvlJc w:val="left"/>
      <w:pPr>
        <w:tabs>
          <w:tab w:val="num" w:pos="2160"/>
        </w:tabs>
        <w:ind w:left="2160" w:hanging="360"/>
      </w:pPr>
      <w:rPr>
        <w:rFonts w:ascii="Times New Roman" w:hAnsi="Times New Roman" w:hint="default"/>
      </w:rPr>
    </w:lvl>
    <w:lvl w:ilvl="3" w:tplc="C67E4D5C" w:tentative="1">
      <w:start w:val="1"/>
      <w:numFmt w:val="bullet"/>
      <w:lvlText w:val="•"/>
      <w:lvlJc w:val="left"/>
      <w:pPr>
        <w:tabs>
          <w:tab w:val="num" w:pos="2880"/>
        </w:tabs>
        <w:ind w:left="2880" w:hanging="360"/>
      </w:pPr>
      <w:rPr>
        <w:rFonts w:ascii="Times New Roman" w:hAnsi="Times New Roman" w:hint="default"/>
      </w:rPr>
    </w:lvl>
    <w:lvl w:ilvl="4" w:tplc="1688CBA2" w:tentative="1">
      <w:start w:val="1"/>
      <w:numFmt w:val="bullet"/>
      <w:lvlText w:val="•"/>
      <w:lvlJc w:val="left"/>
      <w:pPr>
        <w:tabs>
          <w:tab w:val="num" w:pos="3600"/>
        </w:tabs>
        <w:ind w:left="3600" w:hanging="360"/>
      </w:pPr>
      <w:rPr>
        <w:rFonts w:ascii="Times New Roman" w:hAnsi="Times New Roman" w:hint="default"/>
      </w:rPr>
    </w:lvl>
    <w:lvl w:ilvl="5" w:tplc="B67A1242" w:tentative="1">
      <w:start w:val="1"/>
      <w:numFmt w:val="bullet"/>
      <w:lvlText w:val="•"/>
      <w:lvlJc w:val="left"/>
      <w:pPr>
        <w:tabs>
          <w:tab w:val="num" w:pos="4320"/>
        </w:tabs>
        <w:ind w:left="4320" w:hanging="360"/>
      </w:pPr>
      <w:rPr>
        <w:rFonts w:ascii="Times New Roman" w:hAnsi="Times New Roman" w:hint="default"/>
      </w:rPr>
    </w:lvl>
    <w:lvl w:ilvl="6" w:tplc="D80CE46E" w:tentative="1">
      <w:start w:val="1"/>
      <w:numFmt w:val="bullet"/>
      <w:lvlText w:val="•"/>
      <w:lvlJc w:val="left"/>
      <w:pPr>
        <w:tabs>
          <w:tab w:val="num" w:pos="5040"/>
        </w:tabs>
        <w:ind w:left="5040" w:hanging="360"/>
      </w:pPr>
      <w:rPr>
        <w:rFonts w:ascii="Times New Roman" w:hAnsi="Times New Roman" w:hint="default"/>
      </w:rPr>
    </w:lvl>
    <w:lvl w:ilvl="7" w:tplc="DEE8F3E6" w:tentative="1">
      <w:start w:val="1"/>
      <w:numFmt w:val="bullet"/>
      <w:lvlText w:val="•"/>
      <w:lvlJc w:val="left"/>
      <w:pPr>
        <w:tabs>
          <w:tab w:val="num" w:pos="5760"/>
        </w:tabs>
        <w:ind w:left="5760" w:hanging="360"/>
      </w:pPr>
      <w:rPr>
        <w:rFonts w:ascii="Times New Roman" w:hAnsi="Times New Roman" w:hint="default"/>
      </w:rPr>
    </w:lvl>
    <w:lvl w:ilvl="8" w:tplc="78445FA8"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D2"/>
    <w:rsid w:val="00311AA5"/>
    <w:rsid w:val="003801D2"/>
    <w:rsid w:val="00591C43"/>
    <w:rsid w:val="008C0F96"/>
    <w:rsid w:val="009623C0"/>
    <w:rsid w:val="009775D0"/>
    <w:rsid w:val="00DF5581"/>
    <w:rsid w:val="00F21AD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62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9623C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23C0"/>
  </w:style>
  <w:style w:type="paragraph" w:styleId="Antrats">
    <w:name w:val="header"/>
    <w:basedOn w:val="prastasis"/>
    <w:link w:val="AntratsDiagrama"/>
    <w:uiPriority w:val="99"/>
    <w:unhideWhenUsed/>
    <w:rsid w:val="009623C0"/>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9623C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9623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rat">
    <w:name w:val="footer"/>
    <w:basedOn w:val="prastasis"/>
    <w:link w:val="PoratDiagrama"/>
    <w:uiPriority w:val="99"/>
    <w:unhideWhenUsed/>
    <w:rsid w:val="009623C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623C0"/>
  </w:style>
  <w:style w:type="paragraph" w:styleId="Antrats">
    <w:name w:val="header"/>
    <w:basedOn w:val="prastasis"/>
    <w:link w:val="AntratsDiagrama"/>
    <w:uiPriority w:val="99"/>
    <w:unhideWhenUsed/>
    <w:rsid w:val="009623C0"/>
    <w:pPr>
      <w:tabs>
        <w:tab w:val="center" w:pos="4819"/>
        <w:tab w:val="right" w:pos="9638"/>
      </w:tabs>
      <w:spacing w:after="0" w:line="240" w:lineRule="auto"/>
    </w:pPr>
    <w:rPr>
      <w:rFonts w:ascii="Calibri" w:eastAsia="Calibri" w:hAnsi="Calibri" w:cs="Times New Roman"/>
    </w:rPr>
  </w:style>
  <w:style w:type="character" w:customStyle="1" w:styleId="AntratsDiagrama">
    <w:name w:val="Antraštės Diagrama"/>
    <w:basedOn w:val="Numatytasispastraiposriftas"/>
    <w:link w:val="Antrats"/>
    <w:uiPriority w:val="99"/>
    <w:rsid w:val="009623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9939</Words>
  <Characters>5666</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15574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Ramoskaite</dc:creator>
  <cp:keywords/>
  <dc:description/>
  <cp:lastModifiedBy>Irena Ramoskaite</cp:lastModifiedBy>
  <cp:revision>5</cp:revision>
  <dcterms:created xsi:type="dcterms:W3CDTF">2013-09-03T05:57:00Z</dcterms:created>
  <dcterms:modified xsi:type="dcterms:W3CDTF">2013-09-04T10:09:00Z</dcterms:modified>
</cp:coreProperties>
</file>