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FD" w:rsidRPr="001558FD" w:rsidRDefault="001558FD" w:rsidP="001558FD">
      <w:pPr>
        <w:spacing w:after="0" w:line="360" w:lineRule="auto"/>
        <w:rPr>
          <w:rFonts w:ascii="Times New Roman" w:eastAsia="Calibri" w:hAnsi="Times New Roman" w:cs="Times New Roman"/>
          <w:b/>
          <w:sz w:val="24"/>
          <w:szCs w:val="24"/>
        </w:rPr>
      </w:pPr>
      <w:bookmarkStart w:id="0" w:name="_GoBack"/>
      <w:bookmarkEnd w:id="0"/>
      <w:r w:rsidRPr="001558FD">
        <w:rPr>
          <w:rFonts w:ascii="Times New Roman" w:eastAsia="Calibri" w:hAnsi="Times New Roman" w:cs="Times New Roman"/>
          <w:b/>
          <w:sz w:val="24"/>
          <w:szCs w:val="24"/>
        </w:rPr>
        <w:t>FINANSINIS PAGRINDIMAS IR I-OSIOS ALTERNATYVOS ĮGYVENDINIMUI REIKALINGŲ IŠTEKLIŲ ĮVERTINIMAS</w:t>
      </w:r>
    </w:p>
    <w:p w:rsidR="001558FD" w:rsidRPr="001558FD" w:rsidRDefault="001558FD" w:rsidP="001558FD">
      <w:pPr>
        <w:spacing w:after="0" w:line="360" w:lineRule="auto"/>
        <w:jc w:val="both"/>
        <w:rPr>
          <w:rFonts w:ascii="Times New Roman" w:eastAsia="Calibri" w:hAnsi="Times New Roman" w:cs="Times New Roman"/>
          <w:sz w:val="24"/>
          <w:szCs w:val="24"/>
        </w:rPr>
      </w:pPr>
    </w:p>
    <w:p w:rsidR="001558FD" w:rsidRPr="001558FD" w:rsidRDefault="001558FD" w:rsidP="001558FD">
      <w:pPr>
        <w:spacing w:after="0" w:line="360" w:lineRule="auto"/>
        <w:ind w:firstLine="720"/>
        <w:jc w:val="both"/>
        <w:rPr>
          <w:rFonts w:ascii="Times New Roman" w:eastAsia="Calibri" w:hAnsi="Times New Roman" w:cs="Times New Roman"/>
          <w:b/>
          <w:sz w:val="24"/>
          <w:szCs w:val="24"/>
        </w:rPr>
      </w:pPr>
      <w:r w:rsidRPr="001558FD">
        <w:rPr>
          <w:rFonts w:ascii="Times New Roman" w:eastAsia="Calibri" w:hAnsi="Times New Roman" w:cs="Times New Roman"/>
          <w:b/>
          <w:sz w:val="24"/>
          <w:szCs w:val="24"/>
        </w:rPr>
        <w:t>Ugdymo organizavimo moduliais finansavimas reglamentuotas šiuose dokumentuose:</w:t>
      </w:r>
    </w:p>
    <w:p w:rsidR="001558FD" w:rsidRPr="001558FD" w:rsidRDefault="001558FD" w:rsidP="001558FD">
      <w:pPr>
        <w:spacing w:after="0" w:line="360" w:lineRule="auto"/>
        <w:ind w:firstLine="720"/>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1. Mokinio krepšelio lėšų apskaičiavimo ir paskirstymo metodika (toliau METODIKA) (</w:t>
      </w:r>
      <w:proofErr w:type="spellStart"/>
      <w:r w:rsidRPr="001558FD">
        <w:rPr>
          <w:rFonts w:ascii="Times New Roman" w:eastAsia="Calibri" w:hAnsi="Times New Roman" w:cs="Times New Roman"/>
          <w:sz w:val="24"/>
          <w:szCs w:val="24"/>
        </w:rPr>
        <w:t>Žin</w:t>
      </w:r>
      <w:proofErr w:type="spellEnd"/>
      <w:r w:rsidRPr="001558FD">
        <w:rPr>
          <w:rFonts w:ascii="Times New Roman" w:eastAsia="Calibri" w:hAnsi="Times New Roman" w:cs="Times New Roman"/>
          <w:sz w:val="24"/>
          <w:szCs w:val="24"/>
        </w:rPr>
        <w:t>. 2001, Nr. 57-2040; 2009, Nr. 158-7134; 2010, Nr. 155-7872; 2011, Nr. 91-4350, Nr. 165-7861; 2012, Nr. 78-4055, Nr. 102-5173);</w:t>
      </w:r>
      <w:r w:rsidRPr="001558FD">
        <w:rPr>
          <w:rFonts w:ascii="Times New Roman" w:eastAsia="Calibri" w:hAnsi="Times New Roman" w:cs="Times New Roman"/>
          <w:sz w:val="24"/>
          <w:szCs w:val="24"/>
        </w:rPr>
        <w:tab/>
      </w:r>
    </w:p>
    <w:p w:rsidR="001558FD" w:rsidRPr="001558FD" w:rsidRDefault="001558FD" w:rsidP="001558FD">
      <w:pPr>
        <w:spacing w:after="0" w:line="360" w:lineRule="auto"/>
        <w:ind w:firstLine="720"/>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2. Lietuvos Respublikos Vyriausybės 1993 m. liepos 8 d. nutarimas Nr. 511 „Dėl biudžetinių įstaigų ir organizacijų darbuotojų darbo apmokėjimo tvarkos tobulinimo“ (</w:t>
      </w:r>
      <w:proofErr w:type="spellStart"/>
      <w:r w:rsidRPr="001558FD">
        <w:rPr>
          <w:rFonts w:ascii="Times New Roman" w:eastAsia="Calibri" w:hAnsi="Times New Roman" w:cs="Times New Roman"/>
          <w:sz w:val="24"/>
          <w:szCs w:val="24"/>
        </w:rPr>
        <w:t>Žin</w:t>
      </w:r>
      <w:proofErr w:type="spellEnd"/>
      <w:r w:rsidRPr="001558FD">
        <w:rPr>
          <w:rFonts w:ascii="Times New Roman" w:eastAsia="Calibri" w:hAnsi="Times New Roman" w:cs="Times New Roman"/>
          <w:sz w:val="24"/>
          <w:szCs w:val="24"/>
        </w:rPr>
        <w:t>., 1993, Nr. 28-655; 2012, Nr. 153-7858);</w:t>
      </w:r>
    </w:p>
    <w:p w:rsidR="001558FD" w:rsidRPr="001558FD" w:rsidRDefault="001558FD" w:rsidP="001558FD">
      <w:pPr>
        <w:spacing w:after="0" w:line="360" w:lineRule="auto"/>
        <w:ind w:firstLine="720"/>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3.</w:t>
      </w:r>
      <w:proofErr w:type="gramStart"/>
      <w:r w:rsidRPr="001558FD">
        <w:rPr>
          <w:rFonts w:ascii="Times New Roman" w:eastAsia="Calibri" w:hAnsi="Times New Roman" w:cs="Times New Roman"/>
          <w:sz w:val="24"/>
          <w:szCs w:val="24"/>
        </w:rPr>
        <w:t xml:space="preserve">  </w:t>
      </w:r>
      <w:proofErr w:type="gramEnd"/>
      <w:r w:rsidRPr="001558FD">
        <w:rPr>
          <w:rFonts w:ascii="Times New Roman" w:eastAsia="Calibri" w:hAnsi="Times New Roman" w:cs="Times New Roman"/>
          <w:sz w:val="24"/>
          <w:szCs w:val="24"/>
        </w:rPr>
        <w:t>Švietimo įstaigų darbuotojų ir kitų įstaigų pedagoginių darbuotojų darbo apmokėjimo tvarkos aprašas (</w:t>
      </w:r>
      <w:proofErr w:type="spellStart"/>
      <w:r w:rsidRPr="001558FD">
        <w:rPr>
          <w:rFonts w:ascii="Times New Roman" w:eastAsia="Calibri" w:hAnsi="Times New Roman" w:cs="Times New Roman"/>
          <w:sz w:val="24"/>
          <w:szCs w:val="24"/>
        </w:rPr>
        <w:t>Žin</w:t>
      </w:r>
      <w:proofErr w:type="spellEnd"/>
      <w:r w:rsidRPr="001558FD">
        <w:rPr>
          <w:rFonts w:ascii="Times New Roman" w:eastAsia="Calibri" w:hAnsi="Times New Roman" w:cs="Times New Roman"/>
          <w:sz w:val="24"/>
          <w:szCs w:val="24"/>
        </w:rPr>
        <w:t>., 2011, Nr. 96-4517; 2012, Nr. 42-2080, Nr. 84-4409, Nr. 104-5286).</w:t>
      </w:r>
    </w:p>
    <w:p w:rsidR="001558FD" w:rsidRPr="001558FD" w:rsidRDefault="001558FD" w:rsidP="001558FD">
      <w:pPr>
        <w:spacing w:before="360" w:after="0" w:line="360" w:lineRule="auto"/>
        <w:ind w:firstLine="720"/>
        <w:jc w:val="both"/>
        <w:rPr>
          <w:rFonts w:ascii="Times New Roman" w:eastAsia="Times New Roman" w:hAnsi="Times New Roman" w:cs="Times New Roman"/>
          <w:sz w:val="24"/>
          <w:szCs w:val="24"/>
          <w:lang w:eastAsia="lt-LT"/>
        </w:rPr>
      </w:pPr>
      <w:r w:rsidRPr="001558FD">
        <w:rPr>
          <w:rFonts w:ascii="Times New Roman" w:eastAsia="Calibri" w:hAnsi="Times New Roman" w:cs="Times New Roman"/>
          <w:sz w:val="24"/>
          <w:szCs w:val="24"/>
        </w:rPr>
        <w:t>METODIKA suteikia nemažai galimybių finansuoti ugdymo organizavimo naujoves savivaldybės ir mokyklos lygmenyje. Atkreiptinas dėmesys, kad,</w:t>
      </w:r>
      <w:r w:rsidRPr="001558FD">
        <w:rPr>
          <w:rFonts w:ascii="Times New Roman" w:eastAsia="Times New Roman" w:hAnsi="Times New Roman" w:cs="Times New Roman"/>
          <w:sz w:val="24"/>
          <w:szCs w:val="24"/>
          <w:lang w:eastAsia="lt-LT"/>
        </w:rPr>
        <w:t xml:space="preserve"> vadovaujantis </w:t>
      </w:r>
      <w:r w:rsidRPr="001558FD">
        <w:rPr>
          <w:rFonts w:ascii="Times New Roman" w:eastAsia="Calibri" w:hAnsi="Times New Roman" w:cs="Times New Roman"/>
          <w:sz w:val="24"/>
          <w:szCs w:val="24"/>
        </w:rPr>
        <w:t>M</w:t>
      </w:r>
      <w:r w:rsidRPr="001558FD">
        <w:rPr>
          <w:rFonts w:ascii="Times New Roman" w:eastAsia="Times New Roman" w:hAnsi="Times New Roman" w:cs="Times New Roman"/>
          <w:sz w:val="24"/>
          <w:szCs w:val="24"/>
          <w:lang w:eastAsia="lt-LT"/>
        </w:rPr>
        <w:t xml:space="preserve">ETODIKOS 9 punktu, savivaldybės 5-6 procentus atitinkamiems metams joms skirtų mokinio krepšelio </w:t>
      </w:r>
      <w:r w:rsidRPr="001558FD">
        <w:rPr>
          <w:rFonts w:ascii="Times New Roman" w:eastAsia="Calibri" w:hAnsi="Times New Roman" w:cs="Times New Roman"/>
          <w:sz w:val="24"/>
          <w:szCs w:val="24"/>
        </w:rPr>
        <w:t>(toliau MK)</w:t>
      </w:r>
      <w:proofErr w:type="gramStart"/>
      <w:r w:rsidRPr="001558FD">
        <w:rPr>
          <w:rFonts w:ascii="Times New Roman" w:eastAsia="Calibri" w:hAnsi="Times New Roman" w:cs="Times New Roman"/>
          <w:sz w:val="24"/>
          <w:szCs w:val="24"/>
        </w:rPr>
        <w:t xml:space="preserve"> </w:t>
      </w:r>
      <w:r w:rsidRPr="001558FD">
        <w:rPr>
          <w:rFonts w:ascii="Times New Roman" w:eastAsia="Times New Roman" w:hAnsi="Times New Roman" w:cs="Times New Roman"/>
          <w:sz w:val="24"/>
          <w:szCs w:val="24"/>
          <w:lang w:eastAsia="lt-LT"/>
        </w:rPr>
        <w:t xml:space="preserve">  </w:t>
      </w:r>
      <w:proofErr w:type="gramEnd"/>
      <w:r w:rsidRPr="001558FD">
        <w:rPr>
          <w:rFonts w:ascii="Times New Roman" w:eastAsia="Times New Roman" w:hAnsi="Times New Roman" w:cs="Times New Roman"/>
          <w:sz w:val="24"/>
          <w:szCs w:val="24"/>
          <w:lang w:eastAsia="lt-LT"/>
        </w:rPr>
        <w:t xml:space="preserve">lėšų savo nustatyta tvarka gali naudoti, tarp kitų paskirčių, ir profesinės linkmės moduliams neformaliojo švietimo mokyklose finansuoti, ir neformaliajam švietimui, papildančiam bendrąsias pradinio, pagrindinio ir vidurinio ugdymo programas. </w:t>
      </w:r>
    </w:p>
    <w:p w:rsidR="001558FD" w:rsidRPr="001558FD" w:rsidRDefault="001558FD" w:rsidP="001558FD">
      <w:pPr>
        <w:spacing w:after="0" w:line="360" w:lineRule="auto"/>
        <w:ind w:firstLine="720"/>
        <w:jc w:val="both"/>
        <w:rPr>
          <w:rFonts w:ascii="Times New Roman" w:eastAsia="Calibri" w:hAnsi="Times New Roman" w:cs="Times New Roman"/>
          <w:sz w:val="24"/>
          <w:szCs w:val="24"/>
        </w:rPr>
      </w:pPr>
      <w:r w:rsidRPr="001558FD">
        <w:rPr>
          <w:rFonts w:ascii="Times New Roman" w:eastAsia="Times New Roman" w:hAnsi="Times New Roman" w:cs="Times New Roman"/>
          <w:sz w:val="24"/>
          <w:szCs w:val="24"/>
          <w:lang w:eastAsia="lt-LT"/>
        </w:rPr>
        <w:t>METODIKA turi ir tam tikrų trūkumų. Pavyzdžiui, M</w:t>
      </w:r>
      <w:r w:rsidRPr="001558FD">
        <w:rPr>
          <w:rFonts w:ascii="Times New Roman" w:eastAsia="Calibri" w:hAnsi="Times New Roman" w:cs="Times New Roman"/>
          <w:sz w:val="24"/>
          <w:szCs w:val="24"/>
        </w:rPr>
        <w:t xml:space="preserve">ETODIKOJE mokykloms, įgyvendinančioms iš ES struktūrinių fondų finansuojamus projektus, nenumatytos lėšos jiems įgyvendinti (dėl ženkliai padidėjusių mokytojų ir projektų koordinatorių laiko sąnaudų ugdomosios veiklos planavimui, pasirengimui pamokoms, kontrolinių užduočių ir metodinių priemonių rengimui, įsivertinimui, įgytos patirties sklaidai ir pan.), todėl savivaldybės neturi juridinio pagrindo papildomai skirti MK lėšų. Padėtį apsunkina ir tai, kad MK lėšų dydis vienam sutartiniam mokiniui dėl ekonominės situacijos sumažintas 12,3 procento (nuo 3774 Lt iki 3310 Lt). </w:t>
      </w:r>
    </w:p>
    <w:p w:rsidR="001558FD" w:rsidRPr="001558FD" w:rsidRDefault="001558FD" w:rsidP="001558FD">
      <w:pPr>
        <w:spacing w:after="0" w:line="360" w:lineRule="auto"/>
        <w:ind w:firstLine="720"/>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 xml:space="preserve">Kita METODIKOS problema – finansavimo „laiptai“, kai mokinių skaičiaus pasikeitimas net ir vienu mokiniu gali ženkliai pabloginti ar pagerinti mokyklos finansinę padėtį. Tokiais atvejais savivaldybių administracijos dažnai nesugeba, arba įtakojamos vietos politikų neieško ar nesiryžta, parengti ir patvirtinti objektyvius MK lėšų perskirstymo kriterijus, todėl mokyklų finansavimas išlieka pernelyg netolygus. Netolygus ir neskatinantis mokyklų iniciatyvos siekti aukštesnės ugdymo kokybės finansavimas lemia, kad nemažai mokyklų pasirenka išgyvenimo, įvykių kultūros strategiją mažai rūpinantis ugdymo kokybe. Mokyklų vadovų teigimu, „laiptai“ buvo viena iš svarbių priežasčių, dėl kurių tik dalis PROJEKTE dalyvaujančių </w:t>
      </w:r>
      <w:proofErr w:type="spellStart"/>
      <w:r w:rsidRPr="001558FD">
        <w:rPr>
          <w:rFonts w:ascii="Times New Roman" w:eastAsia="Calibri" w:hAnsi="Times New Roman" w:cs="Times New Roman"/>
          <w:sz w:val="24"/>
          <w:szCs w:val="24"/>
        </w:rPr>
        <w:t>mokykl</w:t>
      </w:r>
      <w:proofErr w:type="spellEnd"/>
      <w:r w:rsidRPr="001558FD">
        <w:rPr>
          <w:rFonts w:ascii="Times New Roman" w:eastAsia="Calibri" w:hAnsi="Times New Roman" w:cs="Times New Roman"/>
          <w:sz w:val="24"/>
          <w:szCs w:val="24"/>
        </w:rPr>
        <w:t xml:space="preserve">, savo ir PROJEKTO </w:t>
      </w:r>
      <w:r w:rsidRPr="001558FD">
        <w:rPr>
          <w:rFonts w:ascii="Times New Roman" w:eastAsia="Calibri" w:hAnsi="Times New Roman" w:cs="Times New Roman"/>
          <w:sz w:val="24"/>
          <w:szCs w:val="24"/>
        </w:rPr>
        <w:lastRenderedPageBreak/>
        <w:t xml:space="preserve">organizatorių iniciatyva pradėjo ir tęsia numatytų veiklų įgyvendinimą. Ugdymo organizavimas moduliais, bent jau diegimo etape, </w:t>
      </w:r>
      <w:proofErr w:type="gramStart"/>
      <w:r w:rsidRPr="001558FD">
        <w:rPr>
          <w:rFonts w:ascii="Times New Roman" w:eastAsia="Calibri" w:hAnsi="Times New Roman" w:cs="Times New Roman"/>
          <w:sz w:val="24"/>
          <w:szCs w:val="24"/>
        </w:rPr>
        <w:t>reikalauja</w:t>
      </w:r>
      <w:proofErr w:type="gramEnd"/>
      <w:r w:rsidRPr="001558FD">
        <w:rPr>
          <w:rFonts w:ascii="Times New Roman" w:eastAsia="Calibri" w:hAnsi="Times New Roman" w:cs="Times New Roman"/>
          <w:sz w:val="24"/>
          <w:szCs w:val="24"/>
        </w:rPr>
        <w:t xml:space="preserve"> ženklaus papildomo finansavimo. </w:t>
      </w:r>
      <w:r w:rsidRPr="001558FD">
        <w:rPr>
          <w:rFonts w:ascii="Times New Roman" w:eastAsia="Calibri" w:hAnsi="Times New Roman" w:cs="Times New Roman"/>
          <w:color w:val="000000"/>
          <w:spacing w:val="-2"/>
          <w:sz w:val="24"/>
          <w:szCs w:val="24"/>
        </w:rPr>
        <w:t xml:space="preserve">Mokytojams turėtų būti tarifikuojamos 0,5–3,5 valandos (nepriklausomai nuo kontaktinių valandų skaičiaus per savaitę) už šiuos darbus: darbų planavimą, renginių organizavimą, ruošimąsi renginiams, metodinę veiklą,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w:t>
      </w:r>
    </w:p>
    <w:p w:rsidR="001558FD" w:rsidRPr="001558FD" w:rsidRDefault="001558FD" w:rsidP="001558FD">
      <w:pPr>
        <w:spacing w:line="360" w:lineRule="auto"/>
        <w:ind w:firstLine="709"/>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Siūlomos I-</w:t>
      </w:r>
      <w:proofErr w:type="spellStart"/>
      <w:r w:rsidRPr="001558FD">
        <w:rPr>
          <w:rFonts w:ascii="Times New Roman" w:eastAsia="Calibri" w:hAnsi="Times New Roman" w:cs="Times New Roman"/>
          <w:sz w:val="24"/>
          <w:szCs w:val="24"/>
        </w:rPr>
        <w:t>osios</w:t>
      </w:r>
      <w:proofErr w:type="spellEnd"/>
      <w:r w:rsidRPr="001558FD">
        <w:rPr>
          <w:rFonts w:ascii="Times New Roman" w:eastAsia="Calibri" w:hAnsi="Times New Roman" w:cs="Times New Roman"/>
          <w:sz w:val="24"/>
          <w:szCs w:val="24"/>
        </w:rPr>
        <w:t xml:space="preserve"> alternatyvos įgyvendinimo priemonėms (žr. </w:t>
      </w:r>
      <w:r w:rsidRPr="001558FD">
        <w:rPr>
          <w:rFonts w:ascii="Times New Roman" w:eastAsia="Calibri" w:hAnsi="Times New Roman" w:cs="Times New Roman"/>
          <w:i/>
          <w:sz w:val="24"/>
          <w:szCs w:val="24"/>
        </w:rPr>
        <w:t>2 lentelę</w:t>
      </w:r>
      <w:r w:rsidRPr="001558FD">
        <w:rPr>
          <w:rFonts w:ascii="Times New Roman" w:eastAsia="Calibri" w:hAnsi="Times New Roman" w:cs="Times New Roman"/>
          <w:sz w:val="24"/>
          <w:szCs w:val="24"/>
        </w:rPr>
        <w:t>)</w:t>
      </w:r>
      <w:proofErr w:type="gramStart"/>
      <w:r w:rsidRPr="001558FD">
        <w:rPr>
          <w:rFonts w:ascii="Times New Roman" w:eastAsia="Calibri" w:hAnsi="Times New Roman" w:cs="Times New Roman"/>
          <w:sz w:val="24"/>
          <w:szCs w:val="24"/>
        </w:rPr>
        <w:t xml:space="preserve">  </w:t>
      </w:r>
      <w:proofErr w:type="gramEnd"/>
      <w:r w:rsidRPr="001558FD">
        <w:rPr>
          <w:rFonts w:ascii="Times New Roman" w:eastAsia="Calibri" w:hAnsi="Times New Roman" w:cs="Times New Roman"/>
          <w:sz w:val="24"/>
          <w:szCs w:val="24"/>
        </w:rPr>
        <w:t xml:space="preserve">ir jų atskiroms veikloms realizuoti nacionaliniame lygmenyje reikėtų nemažai papildomų išteklių, kurių vienu iš šaltinių galėtų būti ES SF lėšos, nes dauguma </w:t>
      </w:r>
      <w:r w:rsidRPr="001558FD">
        <w:rPr>
          <w:rFonts w:ascii="Times New Roman" w:eastAsia="Calibri" w:hAnsi="Times New Roman" w:cs="Times New Roman"/>
          <w:i/>
          <w:sz w:val="24"/>
          <w:szCs w:val="24"/>
        </w:rPr>
        <w:t>2 lentelėje</w:t>
      </w:r>
      <w:r w:rsidRPr="001558FD">
        <w:rPr>
          <w:rFonts w:ascii="Times New Roman" w:eastAsia="Calibri" w:hAnsi="Times New Roman" w:cs="Times New Roman"/>
          <w:sz w:val="24"/>
          <w:szCs w:val="24"/>
        </w:rPr>
        <w:t xml:space="preserve"> numatytų įgyvendinimo priemonių ir veiklų galėtų būti vykdomos projektiniu būdu. Minėtos priemonės turėtų būti planuojamos taip, kad vėliau būtų nesunku jas institucionalizuoti ŠMM pavaldžiose įstaigose. Orientacinis papildomų lėšų poreikis priemonėms įgyvendinti įvertintas remiantis šiuo metu vykdomų panašių ES SF projektų patirtimi ir pateiktas </w:t>
      </w:r>
      <w:r w:rsidRPr="001558FD">
        <w:rPr>
          <w:rFonts w:ascii="Times New Roman" w:eastAsia="Calibri" w:hAnsi="Times New Roman" w:cs="Times New Roman"/>
          <w:i/>
          <w:sz w:val="24"/>
          <w:szCs w:val="24"/>
        </w:rPr>
        <w:t>3 lentelėje</w:t>
      </w:r>
      <w:r w:rsidRPr="001558FD">
        <w:rPr>
          <w:rFonts w:ascii="Times New Roman" w:eastAsia="Calibri" w:hAnsi="Times New Roman" w:cs="Times New Roman"/>
          <w:sz w:val="24"/>
          <w:szCs w:val="24"/>
        </w:rPr>
        <w:t>. Vertinant lėšų poreikį atsižvelgta į stambiausių veiklų (dokumentų, modelių, metodikų ir metodinių medžiagų kūrimo, mokytojų ir vadovų mokymo, darbo su pilotinėmis mokyklomis), mokymo priemonių parengimo kaštus.</w:t>
      </w:r>
    </w:p>
    <w:p w:rsidR="001558FD" w:rsidRPr="001558FD" w:rsidRDefault="001558FD" w:rsidP="001558FD">
      <w:pPr>
        <w:spacing w:after="0" w:line="360" w:lineRule="auto"/>
        <w:jc w:val="both"/>
        <w:rPr>
          <w:rFonts w:ascii="Times New Roman" w:eastAsia="Calibri" w:hAnsi="Times New Roman" w:cs="Times New Roman"/>
          <w:b/>
          <w:i/>
        </w:rPr>
      </w:pPr>
      <w:r w:rsidRPr="001558FD">
        <w:rPr>
          <w:rFonts w:ascii="Times New Roman" w:eastAsia="Calibri" w:hAnsi="Times New Roman" w:cs="Times New Roman"/>
          <w:b/>
          <w:i/>
        </w:rPr>
        <w:t xml:space="preserve">3 lentelė. Papildomo finansavimo </w:t>
      </w:r>
      <w:proofErr w:type="gramStart"/>
      <w:r w:rsidRPr="001558FD">
        <w:rPr>
          <w:rFonts w:ascii="Times New Roman" w:eastAsia="Calibri" w:hAnsi="Times New Roman" w:cs="Times New Roman"/>
          <w:b/>
          <w:i/>
        </w:rPr>
        <w:t>poreikio</w:t>
      </w:r>
      <w:proofErr w:type="gramEnd"/>
      <w:r w:rsidRPr="001558FD">
        <w:rPr>
          <w:rFonts w:ascii="Times New Roman" w:eastAsia="Calibri" w:hAnsi="Times New Roman" w:cs="Times New Roman"/>
          <w:b/>
          <w:i/>
        </w:rPr>
        <w:t xml:space="preserve"> įvertinimas siūlomoms ugdymo organizavimo tobulinimo 9-10 klasėse priemonėms įgyvendinti.</w:t>
      </w:r>
    </w:p>
    <w:tbl>
      <w:tblPr>
        <w:tblStyle w:val="Lentelstinklelis"/>
        <w:tblW w:w="0" w:type="auto"/>
        <w:tblLook w:val="04A0" w:firstRow="1" w:lastRow="0" w:firstColumn="1" w:lastColumn="0" w:noHBand="0" w:noVBand="1"/>
      </w:tblPr>
      <w:tblGrid>
        <w:gridCol w:w="1296"/>
        <w:gridCol w:w="7034"/>
        <w:gridCol w:w="1483"/>
      </w:tblGrid>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b/>
              </w:rPr>
            </w:pPr>
            <w:r w:rsidRPr="001558FD">
              <w:rPr>
                <w:rFonts w:ascii="Times New Roman" w:eastAsia="Calibri" w:hAnsi="Times New Roman" w:cs="Times New Roman"/>
                <w:b/>
              </w:rPr>
              <w:t>Priemonės Nr.</w:t>
            </w:r>
          </w:p>
        </w:tc>
        <w:tc>
          <w:tcPr>
            <w:tcW w:w="7034" w:type="dxa"/>
            <w:vAlign w:val="center"/>
          </w:tcPr>
          <w:p w:rsidR="001558FD" w:rsidRPr="001558FD" w:rsidRDefault="001558FD" w:rsidP="001558FD">
            <w:pPr>
              <w:spacing w:line="360" w:lineRule="auto"/>
              <w:jc w:val="center"/>
              <w:rPr>
                <w:rFonts w:ascii="Times New Roman" w:eastAsia="Calibri" w:hAnsi="Times New Roman" w:cs="Times New Roman"/>
                <w:b/>
              </w:rPr>
            </w:pPr>
            <w:r w:rsidRPr="001558FD">
              <w:rPr>
                <w:rFonts w:ascii="Times New Roman" w:eastAsia="Calibri" w:hAnsi="Times New Roman" w:cs="Times New Roman"/>
                <w:b/>
              </w:rPr>
              <w:t>Priemonės pavadinimas</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b/>
              </w:rPr>
            </w:pPr>
            <w:r w:rsidRPr="001558FD">
              <w:rPr>
                <w:rFonts w:ascii="Times New Roman" w:eastAsia="Calibri" w:hAnsi="Times New Roman" w:cs="Times New Roman"/>
                <w:b/>
              </w:rPr>
              <w:t xml:space="preserve">Lėšų </w:t>
            </w:r>
            <w:proofErr w:type="gramStart"/>
            <w:r w:rsidRPr="001558FD">
              <w:rPr>
                <w:rFonts w:ascii="Times New Roman" w:eastAsia="Calibri" w:hAnsi="Times New Roman" w:cs="Times New Roman"/>
                <w:b/>
              </w:rPr>
              <w:t>poreikis</w:t>
            </w:r>
            <w:proofErr w:type="gramEnd"/>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1.</w:t>
            </w:r>
          </w:p>
        </w:tc>
        <w:tc>
          <w:tcPr>
            <w:tcW w:w="7034" w:type="dxa"/>
          </w:tcPr>
          <w:p w:rsidR="001558FD" w:rsidRPr="001558FD" w:rsidRDefault="001558FD" w:rsidP="001558FD">
            <w:pPr>
              <w:spacing w:line="360" w:lineRule="auto"/>
              <w:jc w:val="both"/>
              <w:rPr>
                <w:rFonts w:ascii="Times New Roman" w:eastAsia="Calibri" w:hAnsi="Times New Roman" w:cs="Times New Roman"/>
              </w:rPr>
            </w:pPr>
            <w:r w:rsidRPr="001558FD">
              <w:rPr>
                <w:rFonts w:ascii="Times New Roman" w:eastAsia="Calibri" w:hAnsi="Times New Roman" w:cs="Times New Roman"/>
              </w:rPr>
              <w:t xml:space="preserve">Sukurti suderinto mokinių pasiekimų vertinimo sistemą, atitinkančią </w:t>
            </w:r>
            <w:proofErr w:type="spellStart"/>
            <w:r w:rsidRPr="001558FD">
              <w:rPr>
                <w:rFonts w:ascii="Times New Roman" w:eastAsia="Calibri" w:hAnsi="Times New Roman" w:cs="Times New Roman"/>
              </w:rPr>
              <w:t>koncentro</w:t>
            </w:r>
            <w:proofErr w:type="spellEnd"/>
            <w:r w:rsidRPr="001558FD">
              <w:rPr>
                <w:rFonts w:ascii="Times New Roman" w:eastAsia="Calibri" w:hAnsi="Times New Roman" w:cs="Times New Roman"/>
              </w:rPr>
              <w:t xml:space="preserve"> specifiką</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4-10 mln. Lt</w:t>
            </w:r>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2.</w:t>
            </w:r>
          </w:p>
        </w:tc>
        <w:tc>
          <w:tcPr>
            <w:tcW w:w="7034" w:type="dxa"/>
          </w:tcPr>
          <w:p w:rsidR="001558FD" w:rsidRPr="001558FD" w:rsidRDefault="001558FD" w:rsidP="001558FD">
            <w:pPr>
              <w:jc w:val="both"/>
              <w:rPr>
                <w:rFonts w:ascii="Times New Roman" w:eastAsia="Calibri" w:hAnsi="Times New Roman" w:cs="Times New Roman"/>
              </w:rPr>
            </w:pPr>
            <w:r w:rsidRPr="001558FD">
              <w:rPr>
                <w:rFonts w:ascii="Times New Roman" w:eastAsia="Calibri" w:hAnsi="Times New Roman" w:cs="Times New Roman"/>
              </w:rPr>
              <w:t xml:space="preserve">Diegti modulinio mokymo elementus 9-10 klasių </w:t>
            </w:r>
            <w:proofErr w:type="spellStart"/>
            <w:r w:rsidRPr="001558FD">
              <w:rPr>
                <w:rFonts w:ascii="Times New Roman" w:eastAsia="Calibri" w:hAnsi="Times New Roman" w:cs="Times New Roman"/>
              </w:rPr>
              <w:t>koncentre</w:t>
            </w:r>
            <w:proofErr w:type="spellEnd"/>
          </w:p>
          <w:p w:rsidR="001558FD" w:rsidRPr="001558FD" w:rsidRDefault="001558FD" w:rsidP="001558FD">
            <w:pPr>
              <w:jc w:val="both"/>
              <w:rPr>
                <w:rFonts w:ascii="Times New Roman" w:eastAsia="Calibri" w:hAnsi="Times New Roman" w:cs="Times New Roman"/>
              </w:rPr>
            </w:pPr>
            <w:r w:rsidRPr="001558FD">
              <w:rPr>
                <w:rFonts w:ascii="Times New Roman" w:eastAsia="Calibri" w:hAnsi="Times New Roman" w:cs="Times New Roman"/>
              </w:rPr>
              <w:t>]</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3-6 mln. Lt</w:t>
            </w:r>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3.</w:t>
            </w:r>
          </w:p>
        </w:tc>
        <w:tc>
          <w:tcPr>
            <w:tcW w:w="7034" w:type="dxa"/>
          </w:tcPr>
          <w:p w:rsidR="001558FD" w:rsidRPr="001558FD" w:rsidRDefault="001558FD" w:rsidP="001558FD">
            <w:pPr>
              <w:spacing w:line="360" w:lineRule="auto"/>
              <w:jc w:val="both"/>
              <w:rPr>
                <w:rFonts w:ascii="Times New Roman" w:eastAsia="Calibri" w:hAnsi="Times New Roman" w:cs="Times New Roman"/>
              </w:rPr>
            </w:pPr>
            <w:r w:rsidRPr="001558FD">
              <w:rPr>
                <w:rFonts w:ascii="Times New Roman" w:eastAsia="Calibri" w:hAnsi="Times New Roman" w:cs="Times New Roman"/>
              </w:rPr>
              <w:t>Sukurti ankstyvojo perspėjimo dėl galimų mokymosi nesėkmių, mokymosi pagalbos teikimo mokiniams ir konsultavimo sistemą</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4-8 mln. Lt</w:t>
            </w:r>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4.</w:t>
            </w:r>
          </w:p>
        </w:tc>
        <w:tc>
          <w:tcPr>
            <w:tcW w:w="7034" w:type="dxa"/>
          </w:tcPr>
          <w:p w:rsidR="001558FD" w:rsidRPr="001558FD" w:rsidRDefault="001558FD" w:rsidP="001558FD">
            <w:pPr>
              <w:spacing w:line="360" w:lineRule="auto"/>
              <w:jc w:val="both"/>
              <w:rPr>
                <w:rFonts w:ascii="Times New Roman" w:eastAsia="Calibri" w:hAnsi="Times New Roman" w:cs="Times New Roman"/>
              </w:rPr>
            </w:pPr>
            <w:r w:rsidRPr="001558FD">
              <w:rPr>
                <w:rFonts w:ascii="Times New Roman" w:eastAsia="Calibri" w:hAnsi="Times New Roman" w:cs="Times New Roman"/>
              </w:rPr>
              <w:t>Sudaryti palankias sąlygas mokiniams rinktis iki 15-20% ugdymo turinio (pamokų)</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3-8 mln. Lt</w:t>
            </w:r>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5.</w:t>
            </w:r>
          </w:p>
        </w:tc>
        <w:tc>
          <w:tcPr>
            <w:tcW w:w="7034" w:type="dxa"/>
          </w:tcPr>
          <w:p w:rsidR="001558FD" w:rsidRPr="001558FD" w:rsidRDefault="001558FD" w:rsidP="001558FD">
            <w:pPr>
              <w:spacing w:line="360" w:lineRule="auto"/>
              <w:jc w:val="both"/>
              <w:rPr>
                <w:rFonts w:ascii="Times New Roman" w:eastAsia="Calibri" w:hAnsi="Times New Roman" w:cs="Times New Roman"/>
              </w:rPr>
            </w:pPr>
            <w:r w:rsidRPr="001558FD">
              <w:rPr>
                <w:rFonts w:ascii="Times New Roman" w:eastAsia="Calibri" w:hAnsi="Times New Roman" w:cs="Times New Roman"/>
              </w:rPr>
              <w:t>Skatinti mokyklas savivaldybėse sutartiniu pagrindu koordinuoti savo veiksmus, siūlant pasirenkamąjį ugdymo turinį, arba kurti teritorines mokyklų asociacijas</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2-6 mln. Lt</w:t>
            </w:r>
          </w:p>
        </w:tc>
      </w:tr>
      <w:tr w:rsidR="001558FD" w:rsidRPr="001558FD" w:rsidTr="00CF2872">
        <w:tc>
          <w:tcPr>
            <w:tcW w:w="1296"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6.</w:t>
            </w:r>
          </w:p>
        </w:tc>
        <w:tc>
          <w:tcPr>
            <w:tcW w:w="7034" w:type="dxa"/>
          </w:tcPr>
          <w:p w:rsidR="001558FD" w:rsidRPr="001558FD" w:rsidRDefault="001558FD" w:rsidP="001558FD">
            <w:pPr>
              <w:spacing w:line="360" w:lineRule="auto"/>
              <w:jc w:val="both"/>
              <w:rPr>
                <w:rFonts w:ascii="Times New Roman" w:eastAsia="Calibri" w:hAnsi="Times New Roman" w:cs="Times New Roman"/>
              </w:rPr>
            </w:pPr>
            <w:r w:rsidRPr="001558FD">
              <w:rPr>
                <w:rFonts w:ascii="Times New Roman" w:eastAsia="Calibri" w:hAnsi="Times New Roman" w:cs="Times New Roman"/>
              </w:rPr>
              <w:t>Stiprinti formalaus ir neformalaus ugdymo sąsajas bendrojo ugdymo mokyklose</w:t>
            </w:r>
          </w:p>
        </w:tc>
        <w:tc>
          <w:tcPr>
            <w:tcW w:w="1483" w:type="dxa"/>
            <w:vAlign w:val="center"/>
          </w:tcPr>
          <w:p w:rsidR="001558FD" w:rsidRPr="001558FD" w:rsidRDefault="001558FD" w:rsidP="001558FD">
            <w:pPr>
              <w:spacing w:line="360" w:lineRule="auto"/>
              <w:jc w:val="center"/>
              <w:rPr>
                <w:rFonts w:ascii="Times New Roman" w:eastAsia="Calibri" w:hAnsi="Times New Roman" w:cs="Times New Roman"/>
              </w:rPr>
            </w:pPr>
            <w:r w:rsidRPr="001558FD">
              <w:rPr>
                <w:rFonts w:ascii="Times New Roman" w:eastAsia="Calibri" w:hAnsi="Times New Roman" w:cs="Times New Roman"/>
              </w:rPr>
              <w:t>2-4 mln. Lt</w:t>
            </w:r>
          </w:p>
        </w:tc>
      </w:tr>
    </w:tbl>
    <w:p w:rsidR="001558FD" w:rsidRPr="001558FD" w:rsidRDefault="001558FD" w:rsidP="001558FD">
      <w:pPr>
        <w:spacing w:after="0" w:line="360" w:lineRule="auto"/>
        <w:jc w:val="both"/>
        <w:rPr>
          <w:rFonts w:ascii="Times New Roman" w:eastAsia="Calibri" w:hAnsi="Times New Roman" w:cs="Times New Roman"/>
        </w:rPr>
      </w:pPr>
    </w:p>
    <w:p w:rsidR="001558FD" w:rsidRPr="001558FD" w:rsidRDefault="001558FD" w:rsidP="001558FD">
      <w:pPr>
        <w:spacing w:line="360" w:lineRule="auto"/>
        <w:ind w:firstLine="709"/>
        <w:jc w:val="both"/>
        <w:rPr>
          <w:rFonts w:ascii="Times New Roman" w:eastAsia="Calibri" w:hAnsi="Times New Roman" w:cs="Times New Roman"/>
          <w:b/>
          <w:i/>
          <w:spacing w:val="-2"/>
          <w:sz w:val="24"/>
          <w:szCs w:val="24"/>
        </w:rPr>
      </w:pPr>
      <w:r w:rsidRPr="001558FD">
        <w:rPr>
          <w:rFonts w:ascii="Times New Roman" w:eastAsia="Calibri" w:hAnsi="Times New Roman" w:cs="Times New Roman"/>
          <w:b/>
          <w:i/>
          <w:spacing w:val="-2"/>
          <w:sz w:val="24"/>
          <w:szCs w:val="24"/>
        </w:rPr>
        <w:lastRenderedPageBreak/>
        <w:t>Išvados</w:t>
      </w:r>
    </w:p>
    <w:p w:rsidR="001558FD" w:rsidRPr="001558FD" w:rsidRDefault="001558FD" w:rsidP="001558FD">
      <w:pPr>
        <w:spacing w:after="0" w:line="360" w:lineRule="auto"/>
        <w:ind w:firstLine="709"/>
        <w:jc w:val="both"/>
        <w:rPr>
          <w:rFonts w:ascii="Times New Roman" w:eastAsia="Calibri" w:hAnsi="Times New Roman" w:cs="Times New Roman"/>
          <w:sz w:val="24"/>
          <w:szCs w:val="24"/>
        </w:rPr>
      </w:pPr>
      <w:r w:rsidRPr="001558FD">
        <w:rPr>
          <w:rFonts w:ascii="Times New Roman" w:eastAsia="Calibri" w:hAnsi="Times New Roman" w:cs="Times New Roman"/>
          <w:spacing w:val="-2"/>
          <w:sz w:val="24"/>
          <w:szCs w:val="24"/>
        </w:rPr>
        <w:t>1. Siūlomos I-</w:t>
      </w:r>
      <w:proofErr w:type="spellStart"/>
      <w:r w:rsidRPr="001558FD">
        <w:rPr>
          <w:rFonts w:ascii="Times New Roman" w:eastAsia="Calibri" w:hAnsi="Times New Roman" w:cs="Times New Roman"/>
          <w:spacing w:val="-2"/>
          <w:sz w:val="24"/>
          <w:szCs w:val="24"/>
        </w:rPr>
        <w:t>osios</w:t>
      </w:r>
      <w:proofErr w:type="spellEnd"/>
      <w:r w:rsidRPr="001558FD">
        <w:rPr>
          <w:rFonts w:ascii="Times New Roman" w:eastAsia="Calibri" w:hAnsi="Times New Roman" w:cs="Times New Roman"/>
          <w:spacing w:val="-2"/>
          <w:sz w:val="24"/>
          <w:szCs w:val="24"/>
        </w:rPr>
        <w:t xml:space="preserve"> alternatyvos, grindžiamos valstybinių institucijų ir mokyklos glaudžiu bendradarbiavimu</w:t>
      </w:r>
      <w:r w:rsidRPr="001558FD">
        <w:rPr>
          <w:rFonts w:ascii="Times New Roman" w:eastAsia="Calibri" w:hAnsi="Times New Roman" w:cs="Times New Roman"/>
          <w:sz w:val="24"/>
          <w:szCs w:val="24"/>
        </w:rPr>
        <w:t>, įgyvendinimui šalyje jau dabar yra sudarytos minimalios finansinės prielaidos. Tačiau kai kurių esamų teisės aktų pakeitimai ir papildomas nuo 18 iki 42 mln. Lt finansavimas padėtų pasiekti kokybiškai geresnių ir ilgalaikių rezultatų.</w:t>
      </w:r>
    </w:p>
    <w:p w:rsidR="001558FD" w:rsidRPr="001558FD" w:rsidRDefault="001558FD" w:rsidP="001558FD">
      <w:pPr>
        <w:spacing w:after="0" w:line="360" w:lineRule="auto"/>
        <w:ind w:firstLine="709"/>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2. I-</w:t>
      </w:r>
      <w:proofErr w:type="spellStart"/>
      <w:r w:rsidRPr="001558FD">
        <w:rPr>
          <w:rFonts w:ascii="Times New Roman" w:eastAsia="Calibri" w:hAnsi="Times New Roman" w:cs="Times New Roman"/>
          <w:sz w:val="24"/>
          <w:szCs w:val="24"/>
        </w:rPr>
        <w:t>osios</w:t>
      </w:r>
      <w:proofErr w:type="spellEnd"/>
      <w:r w:rsidRPr="001558FD">
        <w:rPr>
          <w:rFonts w:ascii="Times New Roman" w:eastAsia="Calibri" w:hAnsi="Times New Roman" w:cs="Times New Roman"/>
          <w:sz w:val="24"/>
          <w:szCs w:val="24"/>
        </w:rPr>
        <w:t xml:space="preserve"> alternatyvos, grindžiamos valstybinių institucijų ir mokyklos glaudžiu bendradarbiavimu, įgyvendinimą (tiksliau, modulinio mokymo elementų taikymą 9-10 klasėse) paskatintų ir mokykloms sėkmingiau šią alternatyvą įgyvendinti padėtų </w:t>
      </w:r>
      <w:r w:rsidRPr="001558FD">
        <w:rPr>
          <w:rFonts w:ascii="Times New Roman" w:eastAsia="Calibri" w:hAnsi="Times New Roman" w:cs="Times New Roman"/>
          <w:i/>
          <w:sz w:val="24"/>
          <w:szCs w:val="24"/>
        </w:rPr>
        <w:t>Mokinio krepšelio lėšų apskaičiavimo ir paskirstymo metodikos</w:t>
      </w:r>
      <w:r w:rsidRPr="001558FD">
        <w:rPr>
          <w:rFonts w:ascii="Times New Roman" w:eastAsia="Calibri" w:hAnsi="Times New Roman" w:cs="Times New Roman"/>
          <w:sz w:val="24"/>
          <w:szCs w:val="24"/>
        </w:rPr>
        <w:t xml:space="preserve"> pakeitimai: </w:t>
      </w:r>
    </w:p>
    <w:p w:rsidR="001558FD" w:rsidRPr="001558FD" w:rsidRDefault="001558FD" w:rsidP="001558FD">
      <w:pPr>
        <w:spacing w:after="0" w:line="360" w:lineRule="auto"/>
        <w:ind w:left="1134"/>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 xml:space="preserve">a) numatant papildomas lėšas mokykloms, įgyvendinančioms iš ES struktūrinių fondų finansuojamus projektus (dėl ženkliai padidėjusių mokytojų ir projektų koordinatorių laiko sąnaudų); </w:t>
      </w:r>
    </w:p>
    <w:p w:rsidR="001558FD" w:rsidRPr="001558FD" w:rsidRDefault="001558FD" w:rsidP="001558FD">
      <w:pPr>
        <w:spacing w:after="0" w:line="360" w:lineRule="auto"/>
        <w:ind w:left="1134"/>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 xml:space="preserve">b) atstatant. mokinio krepšelio (MK) lėšų dydį vienam sutartiniam mokiniui bent iki buvusio dydžio (3774 Lt); </w:t>
      </w:r>
    </w:p>
    <w:p w:rsidR="001558FD" w:rsidRPr="001558FD" w:rsidRDefault="001558FD" w:rsidP="001558FD">
      <w:pPr>
        <w:spacing w:after="0" w:line="360" w:lineRule="auto"/>
        <w:ind w:left="1134"/>
        <w:jc w:val="both"/>
        <w:rPr>
          <w:rFonts w:ascii="Times New Roman" w:eastAsia="Calibri" w:hAnsi="Times New Roman" w:cs="Times New Roman"/>
          <w:sz w:val="24"/>
          <w:szCs w:val="24"/>
        </w:rPr>
      </w:pPr>
      <w:r w:rsidRPr="001558FD">
        <w:rPr>
          <w:rFonts w:ascii="Times New Roman" w:eastAsia="Calibri" w:hAnsi="Times New Roman" w:cs="Times New Roman"/>
          <w:sz w:val="24"/>
          <w:szCs w:val="24"/>
        </w:rPr>
        <w:t xml:space="preserve">c) patobulinat MK metodiką ir išsprendžiant „laiptų“ problemą. </w:t>
      </w:r>
    </w:p>
    <w:p w:rsidR="00554A13" w:rsidRDefault="001558FD" w:rsidP="001558FD">
      <w:pPr>
        <w:spacing w:after="0" w:line="360" w:lineRule="auto"/>
        <w:ind w:firstLine="709"/>
        <w:jc w:val="both"/>
      </w:pPr>
      <w:r w:rsidRPr="001558FD">
        <w:rPr>
          <w:rFonts w:ascii="Times New Roman" w:eastAsia="Calibri" w:hAnsi="Times New Roman" w:cs="Times New Roman"/>
          <w:sz w:val="24"/>
          <w:szCs w:val="24"/>
        </w:rPr>
        <w:t xml:space="preserve">3. Siūlomų priemonių ir veiklų (žr. 2 lentelę) įgyvendinimas sudarytų sąlygas per 5-6 metus patobulinti ir/ar parengti modulines programas, metodinės medžiagos paketus (vadovėlius, mokytojo knygas, kontrolinių darbų užduočių bazę, pratybas ir pan.), juos išbandyti mokyklose, vykdyti sklaidą ir taip pagerinti 9-10 klasių mokinių pasiekimus. </w:t>
      </w:r>
    </w:p>
    <w:sectPr w:rsidR="00554A13">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0A" w:rsidRDefault="00A12C0A" w:rsidP="00442A31">
      <w:pPr>
        <w:spacing w:after="0" w:line="240" w:lineRule="auto"/>
      </w:pPr>
      <w:r>
        <w:separator/>
      </w:r>
    </w:p>
  </w:endnote>
  <w:endnote w:type="continuationSeparator" w:id="0">
    <w:p w:rsidR="00A12C0A" w:rsidRDefault="00A12C0A" w:rsidP="0044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0A" w:rsidRDefault="00A12C0A" w:rsidP="00442A31">
      <w:pPr>
        <w:spacing w:after="0" w:line="240" w:lineRule="auto"/>
      </w:pPr>
      <w:r>
        <w:separator/>
      </w:r>
    </w:p>
  </w:footnote>
  <w:footnote w:type="continuationSeparator" w:id="0">
    <w:p w:rsidR="00A12C0A" w:rsidRDefault="00A12C0A" w:rsidP="0044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241" o:spid="_x0000_s2050"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242" o:spid="_x0000_s2051" type="#_x0000_t136" style="position:absolute;margin-left:0;margin-top:0;width:509.55pt;height:169.85pt;rotation:315;z-index:-251653120;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31" w:rsidRDefault="00442A31">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240"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4"/>
    <w:rsid w:val="001558FD"/>
    <w:rsid w:val="00442A31"/>
    <w:rsid w:val="00554A13"/>
    <w:rsid w:val="00A12C0A"/>
    <w:rsid w:val="00D070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5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42A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2A31"/>
  </w:style>
  <w:style w:type="paragraph" w:styleId="Porat">
    <w:name w:val="footer"/>
    <w:basedOn w:val="prastasis"/>
    <w:link w:val="PoratDiagrama"/>
    <w:uiPriority w:val="99"/>
    <w:unhideWhenUsed/>
    <w:rsid w:val="00442A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2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5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442A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2A31"/>
  </w:style>
  <w:style w:type="paragraph" w:styleId="Porat">
    <w:name w:val="footer"/>
    <w:basedOn w:val="prastasis"/>
    <w:link w:val="PoratDiagrama"/>
    <w:uiPriority w:val="99"/>
    <w:unhideWhenUsed/>
    <w:rsid w:val="00442A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4069</Words>
  <Characters>2320</Characters>
  <Application>Microsoft Office Word</Application>
  <DocSecurity>0</DocSecurity>
  <Lines>19</Lines>
  <Paragraphs>12</Paragraphs>
  <ScaleCrop>false</ScaleCrop>
  <Company>Hewlett-Packard Company</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4</cp:revision>
  <dcterms:created xsi:type="dcterms:W3CDTF">2013-09-03T10:49:00Z</dcterms:created>
  <dcterms:modified xsi:type="dcterms:W3CDTF">2013-09-04T08:38:00Z</dcterms:modified>
</cp:coreProperties>
</file>